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0"/>
          <w:sz w:val="72"/>
        </w:rPr>
        <w:t xml:space="preserve">连云港市政府采购</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6"/>
          <w:sz w:val="4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0"/>
          <w:sz w:val="72"/>
        </w:rPr>
        <w:t xml:space="preserve">招标文件</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pacing w:val="67"/>
          <w:sz w:val="40"/>
        </w:rPr>
        <w:t xml:space="preserve"> </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pacing w:val="67"/>
          <w:sz w:val="4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pacing w:val="67"/>
          <w:sz w:val="4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pacing w:val="67"/>
          <w:sz w:val="4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30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标段名称：连云港市优先监管地块扩散监测项目（专门面向中小企业）</w:t>
      </w:r>
      <w:r/>
    </w:p>
    <w:p>
      <w:pPr>
        <w:ind w:left="0" w:right="0" w:firstLine="3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项目编号：JSZC-320700-JSHF-G2025-0008</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1763"/>
        <w:spacing w:before="0" w:after="0" w:line="15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2355" w:right="0" w:hanging="207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采购人：连云港市环境监测监控中心</w:t>
      </w:r>
      <w:r/>
    </w:p>
    <w:p>
      <w:pPr>
        <w:ind w:left="0" w:right="0" w:firstLine="315"/>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采购代理机构：连云港皓凡项目管理有限公司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2025年12月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目录</w:t>
      </w:r>
      <w:r/>
    </w:p>
    <w:p>
      <w:pPr>
        <w:ind w:left="0" w:right="0" w:firstLine="0"/>
        <w:jc w:val="both"/>
        <w:spacing w:before="0" w:after="0" w:line="85" w:lineRule="atLeast"/>
        <w:tabs>
          <w:tab w:val="left" w:pos="8222" w:leader="none"/>
        </w:tabs>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15864" w:history="1">
        <w:r>
          <w:rPr>
            <w:rStyle w:val="924"/>
            <w:rFonts w:ascii="SimSun" w:hAnsi="SimSun" w:eastAsia="SimSun" w:cs="SimSun"/>
            <w:color w:val="000000"/>
            <w:sz w:val="28"/>
            <w:u w:val="single"/>
          </w:rPr>
          <w:t xml:space="preserve">第一章</w:t>
        </w:r>
        <w:r>
          <w:rPr>
            <w:rStyle w:val="924"/>
            <w:rFonts w:ascii="SimSun" w:hAnsi="SimSun" w:eastAsia="SimSun" w:cs="SimSun"/>
            <w:color w:val="000000"/>
            <w:sz w:val="28"/>
            <w:u w:val="none"/>
          </w:rPr>
          <w:t xml:space="preserve">  </w:t>
        </w:r>
        <w:r>
          <w:rPr>
            <w:rStyle w:val="924"/>
            <w:rFonts w:ascii="SimSun" w:hAnsi="SimSun" w:eastAsia="SimSun" w:cs="SimSun"/>
            <w:color w:val="000000"/>
            <w:sz w:val="28"/>
            <w:u w:val="single"/>
          </w:rPr>
          <w:t xml:space="preserve">招标公告</w:t>
        </w:r>
      </w:hyperlink>
      <w:r/>
      <w:r/>
    </w:p>
    <w:p>
      <w:pPr>
        <w:ind w:left="0" w:right="0" w:firstLine="0"/>
        <w:jc w:val="both"/>
        <w:spacing w:before="0" w:after="0" w:line="85" w:lineRule="atLeast"/>
        <w:tabs>
          <w:tab w:val="left" w:pos="8222" w:leader="none"/>
        </w:tabs>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21118" w:history="1">
        <w:r>
          <w:rPr>
            <w:rStyle w:val="924"/>
            <w:rFonts w:ascii="SimSun" w:hAnsi="SimSun" w:eastAsia="SimSun" w:cs="SimSun"/>
            <w:color w:val="000000"/>
            <w:sz w:val="28"/>
            <w:u w:val="single"/>
          </w:rPr>
          <w:t xml:space="preserve">第二章</w:t>
        </w:r>
        <w:r>
          <w:rPr>
            <w:rStyle w:val="924"/>
            <w:rFonts w:ascii="SimSun" w:hAnsi="SimSun" w:eastAsia="SimSun" w:cs="SimSun"/>
            <w:color w:val="000000"/>
            <w:sz w:val="28"/>
            <w:u w:val="none"/>
          </w:rPr>
          <w:t xml:space="preserve">  </w:t>
        </w:r>
        <w:r>
          <w:rPr>
            <w:rStyle w:val="924"/>
            <w:rFonts w:ascii="SimSun" w:hAnsi="SimSun" w:eastAsia="SimSun" w:cs="SimSun"/>
            <w:color w:val="000000"/>
            <w:sz w:val="28"/>
            <w:u w:val="single"/>
          </w:rPr>
          <w:t xml:space="preserve">投标人须知</w:t>
        </w:r>
      </w:hyperlink>
      <w:r/>
      <w:r/>
    </w:p>
    <w:p>
      <w:pPr>
        <w:ind w:left="0" w:right="0" w:firstLine="0"/>
        <w:jc w:val="both"/>
        <w:spacing w:before="0" w:after="0" w:line="85" w:lineRule="atLeast"/>
        <w:tabs>
          <w:tab w:val="left" w:pos="8222"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32045" w:history="1">
        <w:r>
          <w:rPr>
            <w:rStyle w:val="924"/>
            <w:rFonts w:ascii="SimSun" w:hAnsi="SimSun" w:eastAsia="SimSun" w:cs="SimSun"/>
            <w:color w:val="000000"/>
            <w:sz w:val="28"/>
            <w:u w:val="single"/>
          </w:rPr>
          <w:t xml:space="preserve">第三章</w:t>
        </w:r>
        <w:r>
          <w:rPr>
            <w:rStyle w:val="924"/>
            <w:rFonts w:ascii="SimSun" w:hAnsi="SimSun" w:eastAsia="SimSun" w:cs="SimSun"/>
            <w:color w:val="000000"/>
            <w:sz w:val="28"/>
            <w:u w:val="none"/>
          </w:rPr>
          <w:t xml:space="preserve">  </w:t>
        </w:r>
        <w:r>
          <w:rPr>
            <w:rStyle w:val="924"/>
            <w:rFonts w:ascii="SimSun" w:hAnsi="SimSun" w:eastAsia="SimSun" w:cs="SimSun"/>
            <w:color w:val="000000"/>
            <w:sz w:val="28"/>
            <w:u w:val="single"/>
          </w:rPr>
          <w:t xml:space="preserve">政府采购合同格式</w:t>
        </w:r>
      </w:hyperlink>
      <w:r/>
      <w:r/>
    </w:p>
    <w:p>
      <w:pPr>
        <w:ind w:left="0" w:right="0" w:firstLine="0"/>
        <w:jc w:val="both"/>
        <w:spacing w:before="0" w:after="0" w:line="85" w:lineRule="atLeast"/>
        <w:tabs>
          <w:tab w:val="left" w:pos="8222"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841" w:history="1">
        <w:r>
          <w:rPr>
            <w:rStyle w:val="924"/>
            <w:rFonts w:ascii="SimSun" w:hAnsi="SimSun" w:eastAsia="SimSun" w:cs="SimSun"/>
            <w:color w:val="000000"/>
            <w:sz w:val="28"/>
            <w:u w:val="single"/>
          </w:rPr>
          <w:t xml:space="preserve">第四章</w:t>
        </w:r>
        <w:r>
          <w:rPr>
            <w:rStyle w:val="924"/>
            <w:rFonts w:ascii="SimSun" w:hAnsi="SimSun" w:eastAsia="SimSun" w:cs="SimSun"/>
            <w:color w:val="000000"/>
            <w:sz w:val="28"/>
            <w:u w:val="none"/>
          </w:rPr>
          <w:t xml:space="preserve">  </w:t>
        </w:r>
        <w:r>
          <w:rPr>
            <w:rStyle w:val="924"/>
            <w:rFonts w:ascii="SimSun" w:hAnsi="SimSun" w:eastAsia="SimSun" w:cs="SimSun"/>
            <w:color w:val="000000"/>
            <w:sz w:val="28"/>
            <w:u w:val="single"/>
          </w:rPr>
          <w:t xml:space="preserve">投标文件格式</w:t>
        </w:r>
      </w:hyperlink>
      <w:r/>
      <w:r/>
    </w:p>
    <w:p>
      <w:pPr>
        <w:ind w:left="0" w:right="0" w:firstLine="0"/>
        <w:jc w:val="both"/>
        <w:spacing w:before="0" w:after="0" w:line="85" w:lineRule="atLeast"/>
        <w:tabs>
          <w:tab w:val="left" w:pos="8222"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25008" w:history="1">
        <w:r>
          <w:rPr>
            <w:rStyle w:val="924"/>
            <w:rFonts w:ascii="SimSun" w:hAnsi="SimSun" w:eastAsia="SimSun" w:cs="SimSun"/>
            <w:color w:val="000000"/>
            <w:sz w:val="28"/>
            <w:u w:val="single"/>
          </w:rPr>
          <w:t xml:space="preserve">第五章</w:t>
        </w:r>
        <w:r>
          <w:rPr>
            <w:rStyle w:val="924"/>
            <w:rFonts w:ascii="SimSun" w:hAnsi="SimSun" w:eastAsia="SimSun" w:cs="SimSun"/>
            <w:color w:val="000000"/>
            <w:sz w:val="28"/>
            <w:u w:val="none"/>
          </w:rPr>
          <w:t xml:space="preserve">  </w:t>
        </w:r>
        <w:r>
          <w:rPr>
            <w:rStyle w:val="924"/>
            <w:rFonts w:ascii="SimSun" w:hAnsi="SimSun" w:eastAsia="SimSun" w:cs="SimSun"/>
            <w:color w:val="000000"/>
            <w:sz w:val="28"/>
            <w:u w:val="single"/>
          </w:rPr>
          <w:t xml:space="preserve">合同专用条款表</w:t>
        </w:r>
      </w:hyperlink>
      <w:r/>
      <w:r/>
    </w:p>
    <w:p>
      <w:pPr>
        <w:ind w:left="0" w:right="0" w:firstLine="0"/>
        <w:jc w:val="both"/>
        <w:spacing w:before="0" w:after="0" w:line="85" w:lineRule="atLeast"/>
        <w:tabs>
          <w:tab w:val="left" w:pos="8222" w:leader="none"/>
        </w:tabs>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index_loader.html?_dc=7.2.1-34&amp;lang=zh&amp;customer=%20&amp;logo=%20&amp;headerlogo=%2Ffavicon.ico&amp;frameEditorId=iframePage&amp;compact=true&amp;parentOrigin=http://jszfcg.jsczt.cn#_Toc10937" w:history="1">
        <w:r>
          <w:rPr>
            <w:rStyle w:val="924"/>
            <w:rFonts w:ascii="SimSun" w:hAnsi="SimSun" w:eastAsia="SimSun" w:cs="SimSun"/>
            <w:color w:val="000000"/>
            <w:sz w:val="28"/>
            <w:u w:val="single"/>
          </w:rPr>
          <w:t xml:space="preserve">第六章</w:t>
        </w:r>
        <w:r>
          <w:rPr>
            <w:rStyle w:val="924"/>
            <w:rFonts w:ascii="SimSun" w:hAnsi="SimSun" w:eastAsia="SimSun" w:cs="SimSun"/>
            <w:color w:val="000000"/>
            <w:sz w:val="28"/>
            <w:u w:val="none"/>
          </w:rPr>
          <w:t xml:space="preserve">  </w:t>
        </w:r>
        <w:r>
          <w:rPr>
            <w:rStyle w:val="924"/>
            <w:rFonts w:ascii="SimSun" w:hAnsi="SimSun" w:eastAsia="SimSun" w:cs="SimSun"/>
            <w:color w:val="000000"/>
            <w:sz w:val="28"/>
            <w:u w:val="single"/>
          </w:rPr>
          <w:t xml:space="preserve">项目需求</w:t>
        </w:r>
      </w:hyperlink>
      <w:r/>
      <w:r/>
    </w:p>
    <w:p>
      <w:pPr>
        <w:ind w:left="0" w:right="0" w:firstLine="0"/>
        <w:jc w:val="both"/>
        <w:spacing w:before="0" w:after="0" w:line="85" w:lineRule="atLeast"/>
        <w:tabs>
          <w:tab w:val="left" w:pos="8222" w:leader="none"/>
        </w:tabs>
        <w:pBdr>
          <w:top w:val="none" w:color="000000" w:sz="4" w:space="0"/>
          <w:left w:val="none" w:color="000000" w:sz="4" w:space="0"/>
          <w:bottom w:val="none" w:color="000000" w:sz="4" w:space="0"/>
          <w:right w:val="none" w:color="000000" w:sz="4" w:space="0"/>
        </w:pBdr>
      </w:pPr>
      <w:r/>
      <w:hyperlink r:id="rId16" w:tooltip="http://jszfcg.jsczt.cn/jszc/onlyoffice/7.2.1-34/web-apps/apps/documenteditor/main/index_loader.html?_dc=7.2.1-34&amp;lang=zh&amp;customer=%20&amp;logo=%20&amp;headerlogo=%2Ffavicon.ico&amp;frameEditorId=iframePage&amp;compact=true&amp;parentOrigin=http://jszfcg.jsczt.cn#_Toc16271" w:history="1">
        <w:r>
          <w:rPr>
            <w:rStyle w:val="924"/>
            <w:rFonts w:ascii="SimSun" w:hAnsi="SimSun" w:eastAsia="SimSun" w:cs="SimSun"/>
            <w:color w:val="000000"/>
            <w:sz w:val="28"/>
            <w:u w:val="single"/>
          </w:rPr>
          <w:t xml:space="preserve">第七章</w:t>
        </w:r>
        <w:r>
          <w:rPr>
            <w:rStyle w:val="924"/>
            <w:rFonts w:ascii="SimSun" w:hAnsi="SimSun" w:eastAsia="SimSun" w:cs="SimSun"/>
            <w:color w:val="000000"/>
            <w:sz w:val="28"/>
            <w:u w:val="none"/>
          </w:rPr>
          <w:t xml:space="preserve">  </w:t>
        </w:r>
        <w:r>
          <w:rPr>
            <w:rStyle w:val="924"/>
            <w:rFonts w:ascii="SimSun" w:hAnsi="SimSun" w:eastAsia="SimSun" w:cs="SimSun"/>
            <w:color w:val="000000"/>
            <w:sz w:val="28"/>
            <w:u w:val="single"/>
          </w:rPr>
          <w:t xml:space="preserve">评标办法</w:t>
        </w:r>
      </w:hyperlink>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第一章招标公告</w:t>
      </w:r>
      <w:r/>
    </w:p>
    <w:p>
      <w:pPr>
        <w:ind w:left="0" w:right="0" w:firstLine="31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受[连云港市环境监测监控中心]的委托，连云港皓凡项目管理有限公司就连云港市优先监管地块扩散监测项目（专门面向中小企业）]([项目编号</w:t>
      </w:r>
      <w:r>
        <w:rPr>
          <w:rFonts w:ascii="SimSun" w:hAnsi="SimSun" w:eastAsia="SimSun" w:cs="SimSun"/>
          <w:color w:val="000000"/>
          <w:sz w:val="21"/>
        </w:rPr>
        <w:t xml:space="preserve">JSZC-320700-JSHF-G2025-0008)项目进行公开招标采购，欢迎符合条件的供应商投标。</w:t>
      </w:r>
      <w:r/>
    </w:p>
    <w:tbl>
      <w:tblPr>
        <w:tblStyle w:val="72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47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72" w:type="dxa"/>
            <w:vAlign w:val="top"/>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项目概况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连云港市优先监管地块扩散监测项目（专门面向中小企业）</w:t>
            </w:r>
            <w:r>
              <w:rPr>
                <w:rFonts w:ascii="SimSun" w:hAnsi="SimSun" w:eastAsia="SimSun" w:cs="SimSun"/>
                <w:color w:val="000000"/>
                <w:sz w:val="21"/>
              </w:rPr>
              <w:t xml:space="preserve">招标项目的潜在投标人应在</w:t>
            </w:r>
            <w:r>
              <w:rPr>
                <w:rFonts w:ascii="SimSun" w:hAnsi="SimSun" w:eastAsia="SimSun" w:cs="SimSun"/>
                <w:color w:val="000000"/>
                <w:sz w:val="21"/>
                <w:u w:val="single"/>
              </w:rPr>
              <w:t xml:space="preserve">江苏政府采购网</w:t>
            </w:r>
            <w:r>
              <w:rPr>
                <w:rFonts w:ascii="SimSun" w:hAnsi="SimSun" w:eastAsia="SimSun" w:cs="SimSun"/>
                <w:color w:val="000000"/>
                <w:sz w:val="21"/>
              </w:rPr>
              <w:t xml:space="preserve">获取招标文件，并于</w:t>
            </w:r>
            <w:r>
              <w:rPr>
                <w:rFonts w:ascii="SimSun" w:hAnsi="SimSun" w:eastAsia="SimSun" w:cs="SimSun"/>
                <w:color w:val="000000"/>
                <w:sz w:val="21"/>
                <w:u w:val="single"/>
              </w:rPr>
              <w:t xml:space="preserve">2025年12月29日9点00分00秒</w:t>
            </w:r>
            <w:r>
              <w:rPr>
                <w:rFonts w:ascii="SimSun" w:hAnsi="SimSun" w:eastAsia="SimSun" w:cs="SimSun"/>
                <w:color w:val="000000"/>
                <w:sz w:val="21"/>
              </w:rPr>
              <w:t xml:space="preserve">（北京时间）前上传电子投标文件。</w:t>
            </w:r>
            <w:r/>
          </w:p>
        </w:tc>
      </w:tr>
    </w:tbl>
    <w:p>
      <w:pPr>
        <w:ind w:left="0" w:right="0" w:firstLine="210"/>
        <w:jc w:val="both"/>
        <w:spacing w:before="210" w:after="12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11"/>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一、项目基本情况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项目编号：JSZC-320700-JSHF-G2025-0008</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标段名称：连云港市优先监管地块扩散监测项目（专门面向中小企业）</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采购方式：公开招标。</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预算金额：</w:t>
      </w:r>
      <w:r>
        <w:rPr>
          <w:rFonts w:ascii="SimSun" w:hAnsi="SimSun" w:eastAsia="SimSun" w:cs="SimSun"/>
          <w:color w:val="000000"/>
          <w:sz w:val="22"/>
        </w:rPr>
        <w:t xml:space="preserve">106万元，响应报价超过最高限价的按无效响应处理</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需求：地下水中超标的易迁移污染物；环境空气中超标的挥发性污染物（因地块前期重点监测未开展环境空气监测，挥发性污染物监测指标较多）监测质量状况，并编制成果报告、质控报告等，为全市土壤和地下水生态环境安全提供有效支撑和科学保障，详见招标文件采购需求。具体详见项目需求。</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对项目需求部分的询问、质疑请与采购人联系，由采购人负责答复。</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对项目需求、评审因素和评审标准部分的询问、质疑请与采购人联系，由采购人负责答复。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质量要求:合格。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合同履行期限：本项目合同签订之日起12个月内。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本项目不接受联合体投标。</w:t>
      </w:r>
      <w:r/>
    </w:p>
    <w:p>
      <w:pPr>
        <w:ind w:left="0" w:right="0" w:firstLine="21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二、申请人的资格要求</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1.满足《中华人民共和国政府采购法》第二十二条规定，提供下列材料：</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（1）法人或者其他组织的营业执照等证明文件，自然人的身份证明；</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（2）具有良好的商业信誉和健全的财务会计制度；</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（3）依法缴纳税收和社会保障资金的相关材料；</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（4）具备履行合同所必需的设备和专业技术能力的声明及证明材料；</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（5）参加政府采购活动前三年内在经营活动中没有重大违法记录的书面声明。</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注：根据连财购（2023）4号文件精神，第（2）、（3）可以提供《财务状况报告及税收、社会保障资金缴纳情况承诺函》，并上传至电子响应文件中，详见采购文件第六章格式。</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2.落实政府采购政策需满足的资格要求：本项目专门面向中型企业、小型企业、微型企业、残疾人福利性单位、监狱企业采购，符合要求的投标人须提供《中小企业声明函》(详见第六章 投标文件格式)或《残疾人福利性单位声明函》(详见第六章 投标文件格式)或属于监狱企业的证明文件，否则投标无效。</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3.本项目的特定资格要求：无。</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4.本项目的其他资格要求：</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（1）响应文件递交截止前，被信用中国、中国政府采购网列入失信被执行人、重大税收违法案件当事人名单、政府采购严重违法失信行为记录名单的供应商，拒绝其参与政府采购活动。</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备注：采购人或采购代理机构通过信用中国网站（www.creditchina.gov.cn）、中国政府采购网（www.ccgp.gov.cn），对供应商信用记录情况进行查询，查询结果页面打印留存。</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5.法律、法规规定的其他条件。</w:t>
      </w:r>
      <w:r/>
    </w:p>
    <w:p>
      <w:pPr>
        <w:ind w:left="0" w:right="0" w:firstLine="21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三、获取招标文件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w:t>
      </w:r>
      <w:r>
        <w:rPr>
          <w:rFonts w:ascii="SimSun" w:hAnsi="SimSun" w:eastAsia="SimSun" w:cs="SimSun"/>
          <w:b/>
          <w:color w:val="000000"/>
          <w:sz w:val="21"/>
        </w:rPr>
        <w:t xml:space="preserve">自招标公告发布之日起至2025年12月15日 </w:t>
      </w:r>
      <w:r>
        <w:rPr>
          <w:rFonts w:ascii="SimSun" w:hAnsi="SimSun" w:eastAsia="SimSun" w:cs="SimSun"/>
          <w:color w:val="000000"/>
          <w:sz w:val="21"/>
        </w:rPr>
        <w:t xml:space="preserve">（北京时间）</w:t>
      </w:r>
      <w:r/>
    </w:p>
    <w:p>
      <w:pPr>
        <w:ind w:left="0" w:right="0" w:firstLine="444"/>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方式：请投标申请人在“江苏政府采购网”自行免费下载招标文件。</w:t>
      </w:r>
      <w:r/>
    </w:p>
    <w:p>
      <w:pPr>
        <w:ind w:left="0" w:right="0" w:firstLine="4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（1）潜在供应商访问电子招标投标交易平台的网络地址和方法：</w:t>
      </w:r>
      <w:r/>
    </w:p>
    <w:p>
      <w:pPr>
        <w:ind w:left="0" w:right="0" w:firstLine="4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①登录http://jszfcg.jsczt.cn/ ，或进入江苏政府采购网，点击“苏采云”进入系统。</w:t>
      </w:r>
      <w:r/>
    </w:p>
    <w:p>
      <w:pPr>
        <w:ind w:left="0" w:right="0" w:firstLine="4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苏采云”系统用户注册-获取“CA数字证书”-CA绑定与登录-网上报名-下载采购文件(后缀名为“.kedt”)-将后缀名为“.kedt”的采购文件导入政府采购客户端工具-制作响应文件--导出加密的响应文件(后缀名为zip)--通过“苏采云”系统上传投标文件。具体见《江苏省政府采购管理交易系统(苏采云)供应商操作手册》。</w:t>
      </w:r>
      <w:r/>
    </w:p>
    <w:p>
      <w:pPr>
        <w:ind w:left="0" w:right="0" w:firstLine="4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③潜在供应商访问“苏采云”系统的网络地址和方法:“苏采云”系统的网址:http://jszfcg.jsczt.cn/。</w:t>
      </w:r>
      <w:r/>
    </w:p>
    <w:p>
      <w:pPr>
        <w:ind w:left="0" w:right="0" w:firstLine="4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CA数字证书”的获取:供应商需办理CA锁，“苏采云”系统目前仅支持政务CA、方正签章，省内各地区办理的用于“苏采云”平台的政务CA、方正签章全省通用。“CA数字证书”的办理方法详见《江苏省政府采购数字证书(供应商)CA及电子签章办理指南》。</w:t>
      </w:r>
      <w:r/>
    </w:p>
    <w:p>
      <w:pPr>
        <w:ind w:left="0" w:right="0" w:firstLine="4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⑤采购文件(后缀名为“.kedt”)、供应商操作手册及政府采购客户端工具可通过“苏采云”系统--已报名项目--报名详情页面内相应链接进行下载。</w:t>
      </w:r>
      <w:r/>
    </w:p>
    <w:p>
      <w:pPr>
        <w:ind w:left="0" w:right="0" w:firstLine="4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⑥招标代理机构(采购代理机构)将数据电文形式的采购文件加载至“苏采云”系统，供潜在供应商下载或者查阅。</w:t>
      </w:r>
      <w:r/>
    </w:p>
    <w:p>
      <w:pPr>
        <w:ind w:left="0" w:right="0" w:firstLine="4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⑦请潜在投标单位提前安装相应的控件(详见《江苏省政府采购管理交易系统(苏采云)供应商操作手册&gt;)并使用谷歌浏览器登录“苏采云”系统参与不见面开评标。</w:t>
      </w:r>
      <w:r/>
    </w:p>
    <w:p>
      <w:pPr>
        <w:ind w:left="0" w:right="0" w:firstLine="4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注:如潜在供应商未按上述要求操作，将自行承担所产生的风险。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售价：0.00元</w:t>
      </w:r>
      <w:r/>
    </w:p>
    <w:p>
      <w:pPr>
        <w:ind w:left="0" w:right="0" w:firstLine="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四、响应文件提交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截止时间：2025年12月29日9点 00 分（北京时间）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开标时间：2025年12月29日9点 00 分（北京时间）</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地点：“苏采云”政府采购交易系统网上开标大厅。</w:t>
      </w:r>
      <w:r/>
    </w:p>
    <w:p>
      <w:pPr>
        <w:ind w:left="0" w:right="0" w:firstLine="211"/>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五、公告期限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自本公告发布之日起5个工作日</w:t>
      </w:r>
      <w:r>
        <w:rPr>
          <w:rFonts w:ascii="SimSun" w:hAnsi="SimSun" w:eastAsia="SimSun" w:cs="SimSun"/>
          <w:color w:val="000000"/>
          <w:sz w:val="24"/>
        </w:rPr>
        <w:t xml:space="preserve">。</w:t>
      </w:r>
      <w:r/>
    </w:p>
    <w:p>
      <w:pPr>
        <w:numPr>
          <w:ilvl w:val="0"/>
          <w:numId w:val="6"/>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其他补充事宜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1.根据苏财购[2020]52号规定，本项目不收取投标保证金。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2.本招标文件中标注★的款项为实质性响应要求和条件，如不满足将按无效响应处理。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无论出于何种原因，采购人在采购活动开始前可对采购文件进行修改、补充或变更，其内容作为采购文件的重要组成部分，请各供应商关注发布平台。若因供应商自身原因未及时关注本项目有关修改、补充或变更信息，导致投标文件编制或提交失误，由此造成的一切损失由供应商自行承担。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4.本项目的代理咨询费用均由供应商在领取中标通知书时一次性支付，投标单位须将此部分费用综合考虑在投标报价中，不得单列。</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5.投标单位制作投标文件时如遇投标工具中投标格式与采购文件不一致，请投标单位按照采购文件中投标格式要求编制-份投标文件资料添加在投标工具其他材料中。</w:t>
      </w:r>
      <w:r/>
    </w:p>
    <w:p>
      <w:pPr>
        <w:numPr>
          <w:ilvl w:val="0"/>
          <w:numId w:val="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对本次招标提出询问，请按以下方式联系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1、采购人信息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名称：连云港市环境监测监控中心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rPr>
          <w:rFonts w:ascii="SimSun" w:hAnsi="SimSun" w:eastAsia="SimSun" w:cs="SimSun"/>
          <w:color w:val="000000"/>
          <w:sz w:val="22"/>
        </w:rPr>
        <w:t xml:space="preserve">连云港市海州区海昌南路68号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2"/>
        </w:rPr>
        <w:t xml:space="preserve">0518-85521876</w:t>
      </w:r>
      <w:r/>
    </w:p>
    <w:p>
      <w:pPr>
        <w:ind w:left="0" w:right="0" w:firstLine="21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2、采购代理机构信息</w:t>
      </w:r>
      <w:r/>
    </w:p>
    <w:p>
      <w:pPr>
        <w:ind w:left="0" w:right="0" w:firstLine="40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名称：连云港皓凡项目管理有限公司</w:t>
      </w:r>
      <w:r/>
    </w:p>
    <w:p>
      <w:pPr>
        <w:ind w:left="0" w:right="0" w:firstLine="40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rPr>
          <w:rFonts w:ascii="SimSun" w:hAnsi="SimSun" w:eastAsia="SimSun" w:cs="SimSun"/>
          <w:color w:val="000000"/>
          <w:sz w:val="21"/>
          <w:u w:val="none"/>
        </w:rPr>
        <w:t xml:space="preserve">连云港市海州区朝阳东路32号东盛阳光大厦B座  </w:t>
      </w:r>
      <w:r/>
    </w:p>
    <w:p>
      <w:pPr>
        <w:ind w:left="0" w:right="0" w:firstLine="40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项目联系人：杨工</w:t>
      </w:r>
      <w:r/>
    </w:p>
    <w:p>
      <w:pPr>
        <w:ind w:left="0" w:right="0" w:firstLine="40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联系电话：18260388898</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3、项目联系方式</w:t>
      </w:r>
      <w:r/>
    </w:p>
    <w:p>
      <w:pPr>
        <w:ind w:left="0" w:right="0" w:firstLine="40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项目联系人：杨工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 18260388898</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八、特别说明：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w:t>
      </w:r>
      <w:r>
        <w:rPr>
          <w:rFonts w:ascii="SimSun" w:hAnsi="SimSun" w:eastAsia="SimSun" w:cs="SimSun"/>
          <w:color w:val="000000"/>
          <w:sz w:val="21"/>
        </w:rPr>
        <w:t xml:space="preserve">3ce9.html。</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领取CA和办理电子签章（请至连云港市公共资源交易中心一楼处办理，具体联系方式见《苏采云系统供应商操作手册》（以下简称《操作手册》））、进行注册并按《操作手册》要求制作、上传电子投标文件。</w:t>
      </w:r>
      <w:r/>
    </w:p>
    <w:p>
      <w:pPr>
        <w:ind w:left="0" w:right="0" w:firstLine="480"/>
        <w:jc w:val="both"/>
        <w:spacing w:before="0" w:after="0" w:line="85" w:lineRule="atLeast"/>
        <w:tabs>
          <w:tab w:val="left" w:pos="90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有关本次招标的事项若存在变动或修改，敬请及时关注在“江苏政府采购网”发布的更正公告。若因供应商自身原因未及时关注本项目有关修改、补充或变更信息，导致响应文件编制或提交失误，由此造成的一切损失由供应商自行承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第二章 投标人须知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一、总则</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w:t>
      </w:r>
      <w:r>
        <w:rPr>
          <w:rFonts w:ascii="SimSun" w:hAnsi="SimSun" w:eastAsia="SimSun" w:cs="SimSun"/>
          <w:b/>
          <w:color w:val="000000"/>
          <w:sz w:val="21"/>
        </w:rPr>
        <w:t xml:space="preserve">采购方式</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 </w:t>
      </w:r>
      <w:r>
        <w:rPr>
          <w:rFonts w:ascii="SimSun" w:hAnsi="SimSun" w:eastAsia="SimSun" w:cs="SimSun"/>
          <w:color w:val="000000"/>
          <w:sz w:val="21"/>
        </w:rPr>
        <w:t xml:space="preserve">本次招标采取公开招标方式，本招标文件仅适用于招标公告中所述项目。</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w:t>
      </w:r>
      <w:r>
        <w:rPr>
          <w:rFonts w:ascii="SimSun" w:hAnsi="SimSun" w:eastAsia="SimSun" w:cs="SimSun"/>
          <w:b/>
          <w:color w:val="000000"/>
          <w:sz w:val="21"/>
        </w:rPr>
        <w:t xml:space="preserve">合格的投标人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 </w:t>
      </w:r>
      <w:r>
        <w:rPr>
          <w:rFonts w:ascii="SimSun" w:hAnsi="SimSun" w:eastAsia="SimSun" w:cs="SimSun"/>
          <w:color w:val="000000"/>
          <w:sz w:val="21"/>
        </w:rPr>
        <w:t xml:space="preserve">满足招标公告中申请人的资格要求的规定。</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 </w:t>
      </w:r>
      <w:r>
        <w:rPr>
          <w:rFonts w:ascii="SimSun" w:hAnsi="SimSun" w:eastAsia="SimSun" w:cs="SimSun"/>
          <w:color w:val="000000"/>
          <w:sz w:val="21"/>
        </w:rPr>
        <w:t xml:space="preserve">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 </w:t>
      </w:r>
      <w:r>
        <w:rPr>
          <w:rFonts w:ascii="SimSun" w:hAnsi="SimSun" w:eastAsia="SimSun" w:cs="SimSun"/>
          <w:color w:val="000000"/>
          <w:sz w:val="21"/>
        </w:rPr>
        <w:t xml:space="preserve">满足本招标文件全部实质性要求和条件的规定。</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 </w:t>
      </w:r>
      <w:r>
        <w:rPr>
          <w:rFonts w:ascii="SimSun" w:hAnsi="SimSun" w:eastAsia="SimSun" w:cs="SimSun"/>
          <w:color w:val="000000"/>
          <w:sz w:val="21"/>
        </w:rPr>
        <w:t xml:space="preserve">符合上述条件的投标人应承担投标及履约过程应承担的全部责任与义务。</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 </w:t>
      </w:r>
      <w:r>
        <w:rPr>
          <w:rFonts w:ascii="SimSun" w:hAnsi="SimSun" w:eastAsia="SimSun" w:cs="SimSun"/>
          <w:color w:val="000000"/>
          <w:sz w:val="21"/>
        </w:rPr>
        <w:t xml:space="preserve">单位负责人为同一人或者存在直接控股、管理关系的不同供应商，不得参加同一合同项下的政府采购活动。</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w:t>
      </w:r>
      <w:r>
        <w:rPr>
          <w:rFonts w:ascii="SimSun" w:hAnsi="SimSun" w:eastAsia="SimSun" w:cs="SimSun"/>
          <w:b/>
          <w:color w:val="000000"/>
          <w:sz w:val="21"/>
        </w:rPr>
        <w:t xml:space="preserve">适用法律</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 </w:t>
      </w:r>
      <w:r>
        <w:rPr>
          <w:rFonts w:ascii="SimSun" w:hAnsi="SimSun" w:eastAsia="SimSun" w:cs="SimSun"/>
          <w:color w:val="000000"/>
          <w:sz w:val="21"/>
        </w:rPr>
        <w:t xml:space="preserve">本次招标及由此产生的合同受中华人民共和国有关的法律法规制约和保护。</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w:t>
      </w:r>
      <w:r>
        <w:rPr>
          <w:rFonts w:ascii="SimSun" w:hAnsi="SimSun" w:eastAsia="SimSun" w:cs="SimSun"/>
          <w:b/>
          <w:color w:val="000000"/>
          <w:sz w:val="21"/>
        </w:rPr>
        <w:t xml:space="preserve">投标费用</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4.1</w:t>
      </w:r>
      <w:r>
        <w:rPr>
          <w:rFonts w:ascii="SimSun" w:hAnsi="SimSun" w:eastAsia="SimSun" w:cs="SimSun"/>
          <w:color w:val="000000"/>
          <w:sz w:val="21"/>
        </w:rPr>
        <w:t xml:space="preserve">本次招标采购代理费按</w:t>
      </w:r>
      <w:r>
        <w:rPr>
          <w:rFonts w:ascii="Times New Roman" w:hAnsi="Times New Roman" w:eastAsia="Times New Roman" w:cs="Times New Roman"/>
          <w:color w:val="000000"/>
          <w:sz w:val="21"/>
        </w:rPr>
        <w:t xml:space="preserve">4500</w:t>
      </w:r>
      <w:r>
        <w:rPr>
          <w:rFonts w:ascii="SimSun" w:hAnsi="SimSun" w:eastAsia="SimSun" w:cs="SimSun"/>
          <w:color w:val="000000"/>
          <w:sz w:val="21"/>
        </w:rPr>
        <w:t xml:space="preserve">元收取；由供应商在领取中标通知书时一次性支付；投标单位须将此部分费用综合考虑在投标报价中，不得单列。</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4.2 </w:t>
      </w:r>
      <w:r>
        <w:rPr>
          <w:rFonts w:ascii="SimSun" w:hAnsi="SimSun" w:eastAsia="SimSun" w:cs="SimSun"/>
          <w:color w:val="000000"/>
          <w:sz w:val="21"/>
        </w:rPr>
        <w:t xml:space="preserve">本次招标采购人和交易中心不收取标书工本费与中标服务费。</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w:t>
      </w:r>
      <w:r>
        <w:rPr>
          <w:rFonts w:ascii="SimSun" w:hAnsi="SimSun" w:eastAsia="SimSun" w:cs="SimSun"/>
          <w:b/>
          <w:color w:val="000000"/>
          <w:sz w:val="21"/>
        </w:rPr>
        <w:t xml:space="preserve">招标文件的约束力</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5.1 </w:t>
      </w:r>
      <w:r>
        <w:rPr>
          <w:rFonts w:ascii="SimSun" w:hAnsi="SimSun" w:eastAsia="SimSun" w:cs="SimSun"/>
          <w:color w:val="000000"/>
          <w:sz w:val="21"/>
        </w:rPr>
        <w:t xml:space="preserve">投标人一旦参与本项目采购活动，即被认为接受了本招标文件的规定和约束。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二、招标文件</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w:t>
      </w:r>
      <w:r>
        <w:rPr>
          <w:rFonts w:ascii="SimSun" w:hAnsi="SimSun" w:eastAsia="SimSun" w:cs="SimSun"/>
          <w:b/>
          <w:color w:val="000000"/>
          <w:sz w:val="21"/>
        </w:rPr>
        <w:t xml:space="preserve">招标文件的构成</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6.1 </w:t>
      </w:r>
      <w:r>
        <w:rPr>
          <w:rFonts w:ascii="SimSun" w:hAnsi="SimSun" w:eastAsia="SimSun" w:cs="SimSun"/>
          <w:color w:val="000000"/>
          <w:sz w:val="21"/>
        </w:rPr>
        <w:t xml:space="preserve">招标文件由以下部分构成：</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）投标邀请</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）投标人须知</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）合同文本</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）采购需求</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）评标方法与评标标准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）投标文件格式</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请仔细检查招标文件是否齐全，如有缺漏请立即与交易中心联系解决。</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w:t>
      </w:r>
      <w:r>
        <w:rPr>
          <w:rFonts w:ascii="SimSun" w:hAnsi="SimSun" w:eastAsia="SimSun" w:cs="SimSun"/>
          <w:b/>
          <w:color w:val="000000"/>
          <w:sz w:val="21"/>
        </w:rPr>
        <w:t xml:space="preserve">招标文件的澄清</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7.1 </w:t>
      </w:r>
      <w:r>
        <w:rPr>
          <w:rFonts w:ascii="SimSun" w:hAnsi="SimSun" w:eastAsia="SimSun" w:cs="SimSun"/>
          <w:color w:val="000000"/>
          <w:sz w:val="21"/>
        </w:rPr>
        <w:t xml:space="preserve">任何要求对招标文件进行澄清的投标人，应在投标截止时间十日前按招标公告中的通讯地址，以书面形式通知采购人或者交易中心。</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w:t>
      </w:r>
      <w:r>
        <w:rPr>
          <w:rFonts w:ascii="SimSun" w:hAnsi="SimSun" w:eastAsia="SimSun" w:cs="SimSun"/>
          <w:b/>
          <w:color w:val="000000"/>
          <w:sz w:val="21"/>
        </w:rPr>
        <w:t xml:space="preserve">招标文件的修改</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8.1 </w:t>
      </w:r>
      <w:r>
        <w:rPr>
          <w:rFonts w:ascii="SimSun" w:hAnsi="SimSun" w:eastAsia="SimSun" w:cs="SimSun"/>
          <w:color w:val="000000"/>
          <w:sz w:val="21"/>
        </w:rPr>
        <w:t xml:space="preserve">在投标截止时间前，采购人和交易中心可以对招标文件进行修改。</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8.2 </w:t>
      </w:r>
      <w:r>
        <w:rPr>
          <w:rFonts w:ascii="SimSun" w:hAnsi="SimSun" w:eastAsia="SimSun" w:cs="SimSun"/>
          <w:color w:val="000000"/>
          <w:sz w:val="21"/>
        </w:rPr>
        <w:t xml:space="preserve">采购人和交易中心有权按照法定的要求推迟投标截止时间和开标时间。</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8.3 </w:t>
      </w:r>
      <w:r>
        <w:rPr>
          <w:rFonts w:ascii="SimSun" w:hAnsi="SimSun" w:eastAsia="SimSun" w:cs="SimSun"/>
          <w:color w:val="000000"/>
          <w:sz w:val="21"/>
        </w:rPr>
        <w:t xml:space="preserve">招标文件的修改将在江苏政府采购网公布，补充文件将作为招标文件的组成部分，并对投标人具有约束力。</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三、投标文件编制</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w:t>
      </w:r>
      <w:r>
        <w:rPr>
          <w:rFonts w:ascii="SimSun" w:hAnsi="SimSun" w:eastAsia="SimSun" w:cs="SimSun"/>
          <w:b/>
          <w:color w:val="000000"/>
          <w:sz w:val="21"/>
        </w:rPr>
        <w:t xml:space="preserve">投标文件编写注意事项</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9.1 </w:t>
      </w:r>
      <w:r>
        <w:rPr>
          <w:rFonts w:ascii="SimSun" w:hAnsi="SimSun" w:eastAsia="SimSun" w:cs="SimSun"/>
          <w:color w:val="000000"/>
          <w:sz w:val="21"/>
        </w:rPr>
        <w:t xml:space="preserve">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9.2 </w:t>
      </w:r>
      <w:r>
        <w:rPr>
          <w:rFonts w:ascii="SimSun" w:hAnsi="SimSun" w:eastAsia="SimSun" w:cs="SimSun"/>
          <w:color w:val="000000"/>
          <w:sz w:val="21"/>
        </w:rPr>
        <w:t xml:space="preserve">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w:t>
      </w:r>
      <w:r>
        <w:rPr>
          <w:rFonts w:ascii="SimSun" w:hAnsi="SimSun" w:eastAsia="SimSun" w:cs="SimSun"/>
          <w:b/>
          <w:color w:val="000000"/>
          <w:sz w:val="21"/>
        </w:rPr>
        <w:t xml:space="preserve">投标文件的语言及度量衡单位</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10.1 </w:t>
      </w:r>
      <w:r>
        <w:rPr>
          <w:rFonts w:ascii="SimSun" w:hAnsi="SimSun" w:eastAsia="SimSun" w:cs="SimSun"/>
          <w:color w:val="000000"/>
          <w:sz w:val="21"/>
        </w:rPr>
        <w:t xml:space="preserve">除专用术语外，投标人提交的投标文件以及投标人与采购人和交易中心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10.2 </w:t>
      </w:r>
      <w:r>
        <w:rPr>
          <w:rFonts w:ascii="SimSun" w:hAnsi="SimSun" w:eastAsia="SimSun" w:cs="SimSun"/>
          <w:color w:val="000000"/>
          <w:sz w:val="21"/>
        </w:rPr>
        <w:t xml:space="preserve">除技术性能另有规定外，投标文件所使用的度量衡单位，均须采用国家法定计量单位。</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11.</w:t>
      </w:r>
      <w:r>
        <w:rPr>
          <w:rFonts w:ascii="SimSun" w:hAnsi="SimSun" w:eastAsia="SimSun" w:cs="SimSun"/>
          <w:b/>
          <w:color w:val="000000"/>
          <w:sz w:val="21"/>
        </w:rPr>
        <w:t xml:space="preserve">投标文件的构成</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11.1 </w:t>
      </w:r>
      <w:r>
        <w:rPr>
          <w:rFonts w:ascii="SimSun" w:hAnsi="SimSun" w:eastAsia="SimSun" w:cs="SimSun"/>
          <w:color w:val="000000"/>
          <w:sz w:val="21"/>
        </w:rPr>
        <w:t xml:space="preserve">投标人编写的投标文件应包括资格证明文件、符合性证明文件、投标分项报价表、技术要求响应及偏离表、商务要求响应及偏离表、其他证明文件、投标函、开标一览表等部分。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11.2 </w:t>
      </w:r>
      <w:r>
        <w:rPr>
          <w:rFonts w:ascii="SimSun" w:hAnsi="SimSun" w:eastAsia="SimSun" w:cs="SimSun"/>
          <w:color w:val="000000"/>
          <w:sz w:val="21"/>
        </w:rPr>
        <w:t xml:space="preserve">如投标文件制作工具中格式和内容与江苏政府采购网发布的招标文件不一致，请以江苏政府采购网发布的招标文件为准。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11.3 </w:t>
      </w:r>
      <w:r>
        <w:rPr>
          <w:rFonts w:ascii="SimSun" w:hAnsi="SimSun" w:eastAsia="SimSun" w:cs="SimSun"/>
          <w:color w:val="000000"/>
          <w:sz w:val="21"/>
        </w:rPr>
        <w:t xml:space="preserve">特别提醒投标人，混乱的编排导致投标文件被误读或评标委员会（以下简称评委会）查找不到有效文件是投标人的风险。</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w:t>
      </w:r>
      <w:r>
        <w:rPr>
          <w:rFonts w:ascii="SimSun" w:hAnsi="SimSun" w:eastAsia="SimSun" w:cs="SimSun"/>
          <w:b/>
          <w:color w:val="000000"/>
          <w:sz w:val="21"/>
        </w:rPr>
        <w:t xml:space="preserve">证明投标人及投标标的符合招标文件规定的文件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12.1 </w:t>
      </w:r>
      <w:r>
        <w:rPr>
          <w:rFonts w:ascii="SimSun" w:hAnsi="SimSun" w:eastAsia="SimSun" w:cs="SimSun"/>
          <w:color w:val="000000"/>
          <w:sz w:val="21"/>
        </w:rPr>
        <w:t xml:space="preserve">投标人应按照招标文件要求提交证明文件，证明其及投标标的符合招标文件规定。</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12.2 </w:t>
      </w:r>
      <w:r>
        <w:rPr>
          <w:rFonts w:ascii="SimSun" w:hAnsi="SimSun" w:eastAsia="SimSun" w:cs="SimSun"/>
          <w:color w:val="000000"/>
          <w:sz w:val="21"/>
        </w:rPr>
        <w:t xml:space="preserve">招标文件对证明文件无明确形式要求的，证明文件可以以文字资料、图纸和数据等形式提交。</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12.3 </w:t>
      </w:r>
      <w:r>
        <w:rPr>
          <w:rFonts w:ascii="SimSun" w:hAnsi="SimSun" w:eastAsia="SimSun" w:cs="SimSun"/>
          <w:color w:val="000000"/>
          <w:sz w:val="21"/>
        </w:rPr>
        <w:t xml:space="preserve">投标人委托代理时应当提交授权委托书，请按招标文件第六章给定格式及要求填写并附法定代表人（单位负责人）与委托代理人身份证明。</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w:t>
      </w:r>
      <w:r>
        <w:rPr>
          <w:rFonts w:ascii="SimSun" w:hAnsi="SimSun" w:eastAsia="SimSun" w:cs="SimSun"/>
          <w:b/>
          <w:color w:val="000000"/>
          <w:sz w:val="21"/>
        </w:rPr>
        <w:t xml:space="preserve">投标分项报价表</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13.1 </w:t>
      </w:r>
      <w:r>
        <w:rPr>
          <w:rFonts w:ascii="SimSun" w:hAnsi="SimSun" w:eastAsia="SimSun" w:cs="SimSun"/>
          <w:color w:val="000000"/>
          <w:sz w:val="21"/>
        </w:rPr>
        <w:t xml:space="preserve">投标人应根据投标报价要求在投标分项报价表中列明各项投标单价、总价等，未全部列示的作无效响应处理。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13.2 </w:t>
      </w:r>
      <w:r>
        <w:rPr>
          <w:rFonts w:ascii="SimSun" w:hAnsi="SimSun" w:eastAsia="SimSun" w:cs="SimSun"/>
          <w:color w:val="000000"/>
          <w:sz w:val="21"/>
        </w:rPr>
        <w:t xml:space="preserve">投标文件中的单价和总价无特殊规定的采用人民币报价，以元为单位标注。招标文件中另有规定的按规定执行。</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14.</w:t>
      </w:r>
      <w:r>
        <w:rPr>
          <w:rFonts w:ascii="SimSun" w:hAnsi="SimSun" w:eastAsia="SimSun" w:cs="SimSun"/>
          <w:b/>
          <w:color w:val="000000"/>
          <w:sz w:val="21"/>
        </w:rPr>
        <w:t xml:space="preserve">技术要求响应及偏离表、商务要求响应及偏离表</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14.1 </w:t>
      </w:r>
      <w:r>
        <w:rPr>
          <w:rFonts w:ascii="SimSun" w:hAnsi="SimSun" w:eastAsia="SimSun" w:cs="SimSun"/>
          <w:color w:val="000000"/>
          <w:sz w:val="21"/>
        </w:rPr>
        <w:t xml:space="preserve">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14.2 </w:t>
      </w:r>
      <w:r>
        <w:rPr>
          <w:rFonts w:ascii="SimSun" w:hAnsi="SimSun" w:eastAsia="SimSun" w:cs="SimSun"/>
          <w:color w:val="000000"/>
          <w:sz w:val="21"/>
        </w:rPr>
        <w:t xml:space="preserve">投标人可在投标文件中提供认为需要的其他技术文件或说明。</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w:t>
      </w:r>
      <w:r>
        <w:rPr>
          <w:rFonts w:ascii="SimSun" w:hAnsi="SimSun" w:eastAsia="SimSun" w:cs="SimSun"/>
          <w:b/>
          <w:color w:val="000000"/>
          <w:sz w:val="21"/>
        </w:rPr>
        <w:t xml:space="preserve">服务承诺、培训计划、人员安排及其他</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15.1 </w:t>
      </w:r>
      <w:r>
        <w:rPr>
          <w:rFonts w:ascii="SimSun" w:hAnsi="SimSun" w:eastAsia="SimSun" w:cs="SimSun"/>
          <w:color w:val="000000"/>
          <w:sz w:val="21"/>
        </w:rPr>
        <w:t xml:space="preserve">投标人应根据招标文件要求提供有关售后服务的管理制度，售后服务机构的分布情况，售后服务人员的数量、素质、技术水平及售后服务的反应能力等。</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15.2 </w:t>
      </w:r>
      <w:r>
        <w:rPr>
          <w:rFonts w:ascii="SimSun" w:hAnsi="SimSun" w:eastAsia="SimSun" w:cs="SimSun"/>
          <w:color w:val="000000"/>
          <w:sz w:val="21"/>
        </w:rPr>
        <w:t xml:space="preserve">投标人应根据招标文件要求提供培训计划、人员安排等。</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15.3 </w:t>
      </w:r>
      <w:r>
        <w:rPr>
          <w:rFonts w:ascii="SimSun" w:hAnsi="SimSun" w:eastAsia="SimSun" w:cs="SimSun"/>
          <w:color w:val="000000"/>
          <w:sz w:val="21"/>
        </w:rPr>
        <w:t xml:space="preserve">投标人应根据招标文件要求提供所投标的的主要组成部分、功能设计、实现思路及关键技术等。</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w:t>
      </w:r>
      <w:r>
        <w:rPr>
          <w:rFonts w:ascii="SimSun" w:hAnsi="SimSun" w:eastAsia="SimSun" w:cs="SimSun"/>
          <w:b/>
          <w:color w:val="000000"/>
          <w:sz w:val="21"/>
        </w:rPr>
        <w:t xml:space="preserve">投标函和开标一览表</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16.1 </w:t>
      </w:r>
      <w:r>
        <w:rPr>
          <w:rFonts w:ascii="SimSun" w:hAnsi="SimSun" w:eastAsia="SimSun" w:cs="SimSun"/>
          <w:color w:val="000000"/>
          <w:sz w:val="21"/>
        </w:rPr>
        <w:t xml:space="preserve">投标人应按照招标文件提供的格式完整、正确填写投标函、开标一览表。</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16.2 </w:t>
      </w:r>
      <w:r>
        <w:rPr>
          <w:rFonts w:ascii="SimSun" w:hAnsi="SimSun" w:eastAsia="SimSun" w:cs="SimSun"/>
          <w:color w:val="000000"/>
          <w:sz w:val="21"/>
        </w:rPr>
        <w:t xml:space="preserve">对于采用货币报价的项目，开标一览表中的投标总报价应与投标分项报价表中的投标总报价一致，如不一致，不作无效投标处理，但评标时以开标一览表中价格为准。</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17.</w:t>
      </w:r>
      <w:r>
        <w:rPr>
          <w:rFonts w:ascii="SimSun" w:hAnsi="SimSun" w:eastAsia="SimSun" w:cs="SimSun"/>
          <w:b/>
          <w:color w:val="000000"/>
          <w:sz w:val="21"/>
        </w:rPr>
        <w:t xml:space="preserve">投标有效期</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17.1 </w:t>
      </w:r>
      <w:r>
        <w:rPr>
          <w:rFonts w:ascii="SimSun" w:hAnsi="SimSun" w:eastAsia="SimSun" w:cs="SimSun"/>
          <w:color w:val="000000"/>
          <w:sz w:val="21"/>
        </w:rPr>
        <w:t xml:space="preserve">投标有效期为招标文件规定的开标之日后六十（</w:t>
      </w:r>
      <w:r>
        <w:rPr>
          <w:rFonts w:ascii="Times New Roman" w:hAnsi="Times New Roman" w:eastAsia="Times New Roman" w:cs="Times New Roman"/>
          <w:color w:val="000000"/>
          <w:sz w:val="21"/>
        </w:rPr>
        <w:t xml:space="preserve">60</w:t>
      </w:r>
      <w:r>
        <w:rPr>
          <w:rFonts w:ascii="SimSun" w:hAnsi="SimSun" w:eastAsia="SimSun" w:cs="SimSun"/>
          <w:color w:val="000000"/>
          <w:sz w:val="21"/>
        </w:rPr>
        <w:t xml:space="preserve">）天。投标有效期比规定短的将被视为未实质性响应招标文件而予以拒绝。</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17.2 </w:t>
      </w:r>
      <w:r>
        <w:rPr>
          <w:rFonts w:ascii="SimSun" w:hAnsi="SimSun" w:eastAsia="SimSun" w:cs="SimSun"/>
          <w:color w:val="000000"/>
          <w:sz w:val="21"/>
        </w:rPr>
        <w:t xml:space="preserve">在特殊情况下（法律法规另有规定的除外），经监管部门批准后，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四、投标文件递交</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18.</w:t>
      </w:r>
      <w:r>
        <w:rPr>
          <w:rFonts w:ascii="SimSun" w:hAnsi="SimSun" w:eastAsia="SimSun" w:cs="SimSun"/>
          <w:b/>
          <w:color w:val="000000"/>
          <w:sz w:val="21"/>
        </w:rPr>
        <w:t xml:space="preserve">电子投标文件的递交</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18.1 </w:t>
      </w:r>
      <w:r>
        <w:rPr>
          <w:rFonts w:ascii="SimSun" w:hAnsi="SimSun" w:eastAsia="SimSun" w:cs="SimSun"/>
          <w:color w:val="000000"/>
          <w:sz w:val="21"/>
        </w:rPr>
        <w:t xml:space="preserve">投标人应当按照《操作手册》规定，在投标截止时间前制作并递交（上传）电子投标文件。</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19.</w:t>
      </w:r>
      <w:r>
        <w:rPr>
          <w:rFonts w:ascii="SimSun" w:hAnsi="SimSun" w:eastAsia="SimSun" w:cs="SimSun"/>
          <w:b/>
          <w:color w:val="000000"/>
          <w:sz w:val="21"/>
        </w:rPr>
        <w:t xml:space="preserve">投标截止时间</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19.1 </w:t>
      </w:r>
      <w:r>
        <w:rPr>
          <w:rFonts w:ascii="SimSun" w:hAnsi="SimSun" w:eastAsia="SimSun" w:cs="SimSun"/>
          <w:color w:val="000000"/>
          <w:sz w:val="21"/>
        </w:rPr>
        <w:t xml:space="preserve">投标人递交（上传）电子投标文件的时间不得迟于招标公告中规定的投标截止时间。</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投标人应充分考虑计算机硬件、软件及网络环境等风险因素，如因投标人自身原因造成电子投标文件递交（上传）不成功的按照本招标文件第二章第</w:t>
      </w:r>
      <w:r>
        <w:rPr>
          <w:rFonts w:ascii="Times New Roman" w:hAnsi="Times New Roman" w:eastAsia="Times New Roman" w:cs="Times New Roman"/>
          <w:color w:val="000000"/>
          <w:sz w:val="21"/>
        </w:rPr>
        <w:t xml:space="preserve">27.1</w:t>
      </w:r>
      <w:r>
        <w:rPr>
          <w:rFonts w:ascii="SimSun" w:hAnsi="SimSun" w:eastAsia="SimSun" w:cs="SimSun"/>
          <w:color w:val="000000"/>
          <w:sz w:val="21"/>
        </w:rPr>
        <w:t xml:space="preserve">条规定作无效投标处理。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19.2 </w:t>
      </w:r>
      <w:r>
        <w:rPr>
          <w:rFonts w:ascii="SimSun" w:hAnsi="SimSun" w:eastAsia="SimSun" w:cs="SimSun"/>
          <w:color w:val="000000"/>
          <w:sz w:val="21"/>
        </w:rPr>
        <w:t xml:space="preserve">采购人和交易中心可以按照规定，通过修改招标文件酌情延长投标截止时间，在此情况下，投标人的所有权利和义务以及投标人受制的截止时间均应以延长后新的截止时间为准。</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20.</w:t>
      </w:r>
      <w:r>
        <w:rPr>
          <w:rFonts w:ascii="SimSun" w:hAnsi="SimSun" w:eastAsia="SimSun" w:cs="SimSun"/>
          <w:b/>
          <w:color w:val="000000"/>
          <w:sz w:val="21"/>
        </w:rPr>
        <w:t xml:space="preserve">投标文件的拒收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20.1 </w:t>
      </w:r>
      <w:r>
        <w:rPr>
          <w:rFonts w:ascii="SimSun" w:hAnsi="SimSun" w:eastAsia="SimSun" w:cs="SimSun"/>
          <w:color w:val="000000"/>
          <w:sz w:val="21"/>
        </w:rPr>
        <w:t xml:space="preserve">交易中心拒绝接收在招标文件规定的投标截止时间后递交（上传）的任何投标文件。</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21.</w:t>
      </w:r>
      <w:r>
        <w:rPr>
          <w:rFonts w:ascii="SimSun" w:hAnsi="SimSun" w:eastAsia="SimSun" w:cs="SimSun"/>
          <w:b/>
          <w:color w:val="000000"/>
          <w:sz w:val="21"/>
        </w:rPr>
        <w:t xml:space="preserve">投标文件的撤回和修改</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21.1 </w:t>
      </w:r>
      <w:r>
        <w:rPr>
          <w:rFonts w:ascii="SimSun" w:hAnsi="SimSun" w:eastAsia="SimSun" w:cs="SimSun"/>
          <w:color w:val="000000"/>
          <w:sz w:val="21"/>
        </w:rPr>
        <w:t xml:space="preserve">投标人可在投标截止时间前，撤回其电子投标文件，具体操作方法见《操作手册》。投标人撤回电子投标文件的，则认为其不再参与本项目采购活动。</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21.2 </w:t>
      </w:r>
      <w:r>
        <w:rPr>
          <w:rFonts w:ascii="SimSun" w:hAnsi="SimSun" w:eastAsia="SimSun" w:cs="SimSun"/>
          <w:color w:val="000000"/>
          <w:sz w:val="21"/>
        </w:rPr>
        <w:t xml:space="preserve">投标人可在投标截止时间前，对其电子投标文件进行修改，具体操作方法见《操作手册》。在投标截止时间之后，投标人不得对其电子投标文件做任何修改。</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21.3 </w:t>
      </w:r>
      <w:r>
        <w:rPr>
          <w:rFonts w:ascii="SimSun" w:hAnsi="SimSun" w:eastAsia="SimSun" w:cs="SimSun"/>
          <w:color w:val="000000"/>
          <w:sz w:val="21"/>
        </w:rPr>
        <w:t xml:space="preserve">在投标截止时间至招标文件规定的投标有效期满之间的这段时间内，投标人不得撤回其投标。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五、开标与评标</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w:t>
      </w:r>
      <w:r>
        <w:rPr>
          <w:rFonts w:ascii="SimSun" w:hAnsi="SimSun" w:eastAsia="SimSun" w:cs="SimSun"/>
          <w:b/>
          <w:color w:val="000000"/>
          <w:sz w:val="21"/>
        </w:rPr>
        <w:t xml:space="preserve">开标</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22.1 </w:t>
      </w:r>
      <w:r>
        <w:rPr>
          <w:rFonts w:ascii="SimSun" w:hAnsi="SimSun" w:eastAsia="SimSun" w:cs="SimSun"/>
          <w:color w:val="000000"/>
          <w:sz w:val="21"/>
        </w:rPr>
        <w:t xml:space="preserve">交易中心将在招标公告中规定的时间和地点组织公开开标。投标人应当按时参加开标活动，并在“苏采云”系统规定的时间内对其投标文件进行解密。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 </w:t>
      </w:r>
      <w:r>
        <w:rPr>
          <w:rFonts w:ascii="SimSun" w:hAnsi="SimSun" w:eastAsia="SimSun" w:cs="SimSun"/>
          <w:color w:val="000000"/>
          <w:sz w:val="21"/>
        </w:rPr>
        <w:t xml:space="preserve">开标仪式由交易中心组织。“苏采云”系统将自动对项目进行开标，并宣布各投标人名称和投标价格。</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22.3 </w:t>
      </w:r>
      <w:r>
        <w:rPr>
          <w:rFonts w:ascii="SimSun" w:hAnsi="SimSun" w:eastAsia="SimSun" w:cs="SimSun"/>
          <w:color w:val="000000"/>
          <w:sz w:val="21"/>
        </w:rPr>
        <w:t xml:space="preserve">投标人在开标过程中涉及到的投标文件解密、开标结果确认等工作，应当按照《操作手册》规定执行。</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22.4 </w:t>
      </w:r>
      <w:r>
        <w:rPr>
          <w:rFonts w:ascii="SimSun" w:hAnsi="SimSun" w:eastAsia="SimSun" w:cs="SimSun"/>
          <w:color w:val="000000"/>
          <w:sz w:val="21"/>
        </w:rPr>
        <w:t xml:space="preserve">投标人如果对开标过程和开标记录有疑义，应当按照《操作手册》规定提出，未在“苏采云”系统《开标记录表》宣布后</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分钟内提出的，视同认可开标结果。</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22.5 </w:t>
      </w:r>
      <w:r>
        <w:rPr>
          <w:rFonts w:ascii="SimSun" w:hAnsi="SimSun" w:eastAsia="SimSun" w:cs="SimSun"/>
          <w:color w:val="000000"/>
          <w:sz w:val="21"/>
        </w:rPr>
        <w:t xml:space="preserve">投标人未参加开标的，视同认可开标结果。</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22.6 </w:t>
      </w:r>
      <w:r>
        <w:rPr>
          <w:rFonts w:ascii="SimSun" w:hAnsi="SimSun" w:eastAsia="SimSun" w:cs="SimSun"/>
          <w:color w:val="000000"/>
          <w:sz w:val="21"/>
        </w:rPr>
        <w:t xml:space="preserve">投标人在开标、评标全过程中应保持通信畅通，及时登录“苏采云”系统查阅、答复相关信息，并安排专人与交易中心及评委会联系。</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23.</w:t>
      </w:r>
      <w:r>
        <w:rPr>
          <w:rFonts w:ascii="SimSun" w:hAnsi="SimSun" w:eastAsia="SimSun" w:cs="SimSun"/>
          <w:b/>
          <w:color w:val="000000"/>
          <w:sz w:val="21"/>
        </w:rPr>
        <w:t xml:space="preserve">评标委员会</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23.1 </w:t>
      </w:r>
      <w:r>
        <w:rPr>
          <w:rFonts w:ascii="SimSun" w:hAnsi="SimSun" w:eastAsia="SimSun" w:cs="SimSun"/>
          <w:color w:val="000000"/>
          <w:sz w:val="21"/>
        </w:rPr>
        <w:t xml:space="preserve">开标后，交易中心将组织评委会进行评标。</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23.2 </w:t>
      </w:r>
      <w:r>
        <w:rPr>
          <w:rFonts w:ascii="SimSun" w:hAnsi="SimSun" w:eastAsia="SimSun" w:cs="SimSun"/>
          <w:color w:val="000000"/>
          <w:sz w:val="21"/>
        </w:rPr>
        <w:t xml:space="preserve">评委会由采购人代表和有关技术、经济等方面的评审专家组成，且人员构成符合政府采购有关规定。</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23.3 </w:t>
      </w:r>
      <w:r>
        <w:rPr>
          <w:rFonts w:ascii="SimSun" w:hAnsi="SimSun" w:eastAsia="SimSun" w:cs="SimSun"/>
          <w:color w:val="000000"/>
          <w:sz w:val="21"/>
        </w:rPr>
        <w:t xml:space="preserve">评委会按照采购文件规定的评审程序、评审方法和评审标准进行独立评审并确定中标候选人。</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24.</w:t>
      </w:r>
      <w:r>
        <w:rPr>
          <w:rFonts w:ascii="SimSun" w:hAnsi="SimSun" w:eastAsia="SimSun" w:cs="SimSun"/>
          <w:b/>
          <w:color w:val="000000"/>
          <w:sz w:val="21"/>
        </w:rPr>
        <w:t xml:space="preserve">评标过程的保密与公正</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24.1 </w:t>
      </w:r>
      <w:r>
        <w:rPr>
          <w:rFonts w:ascii="SimSun" w:hAnsi="SimSun" w:eastAsia="SimSun" w:cs="SimSun"/>
          <w:color w:val="000000"/>
          <w:sz w:val="21"/>
        </w:rPr>
        <w:t xml:space="preserve">凡是与审查、澄清、评价和比较投标的有关资料以及投标建议等，采购人、评审专家、交易中心均不得向投标人或与评标无关的其他人员透露。</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24.2 </w:t>
      </w:r>
      <w:r>
        <w:rPr>
          <w:rFonts w:ascii="SimSun" w:hAnsi="SimSun" w:eastAsia="SimSun" w:cs="SimSun"/>
          <w:color w:val="000000"/>
          <w:sz w:val="21"/>
        </w:rPr>
        <w:t xml:space="preserve">在评标过程中，投标人不得以任何行为影响评标过程，否则其投标文件将被作为无效投标文件。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24.3 </w:t>
      </w:r>
      <w:r>
        <w:rPr>
          <w:rFonts w:ascii="SimSun" w:hAnsi="SimSun" w:eastAsia="SimSun" w:cs="SimSun"/>
          <w:color w:val="000000"/>
          <w:sz w:val="21"/>
        </w:rPr>
        <w:t xml:space="preserve">交易中心和评委会不向未中标的投标人解释未中标原因，也不公布评标过程中的相关细节。</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24.4 </w:t>
      </w:r>
      <w:r>
        <w:rPr>
          <w:rFonts w:ascii="SimSun" w:hAnsi="SimSun" w:eastAsia="SimSun" w:cs="SimSun"/>
          <w:color w:val="000000"/>
          <w:sz w:val="21"/>
        </w:rPr>
        <w:t xml:space="preserve">采用综合评分法的项目，未中标的投标人可于中标结果公告期限届满之日起通过“苏采云”系统查看自己的评审得分及排序情况。</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25.</w:t>
      </w:r>
      <w:r>
        <w:rPr>
          <w:rFonts w:ascii="SimSun" w:hAnsi="SimSun" w:eastAsia="SimSun" w:cs="SimSun"/>
          <w:b/>
          <w:color w:val="000000"/>
          <w:sz w:val="21"/>
        </w:rPr>
        <w:t xml:space="preserve">投标文件的澄清</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25.1 </w:t>
      </w:r>
      <w:r>
        <w:rPr>
          <w:rFonts w:ascii="SimSun" w:hAnsi="SimSun" w:eastAsia="SimSun" w:cs="SimSun"/>
          <w:color w:val="000000"/>
          <w:sz w:val="21"/>
        </w:rPr>
        <w:t xml:space="preserve">评标期间，评委会对投标文件中含义不明确、同类问题表述不一致或者有明显文字和计算错误的内容，有权要求投标人作出必要的澄清、说明或者补正。</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评委会并非对每个投标人都提出澄清、说明或者补正要求。</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25.2 </w:t>
      </w:r>
      <w:r>
        <w:rPr>
          <w:rFonts w:ascii="SimSun" w:hAnsi="SimSun" w:eastAsia="SimSun" w:cs="SimSun"/>
          <w:color w:val="000000"/>
          <w:sz w:val="21"/>
        </w:rPr>
        <w:t xml:space="preserve">需要供应商进行澄清、说明或者补正的，评委会将通过“苏采云”系统向供应商发出“澄清要求函”，接到“澄清要求函”的投标人应当按照要求在“苏采云”系统中提交“澄清响应函”，并加盖</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电子公章。澄清、说明或者补正的内容作为投标文件的补充部分，具体操作方法见《操作手册》。</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25.3 </w:t>
      </w:r>
      <w:r>
        <w:rPr>
          <w:rFonts w:ascii="SimSun" w:hAnsi="SimSun" w:eastAsia="SimSun" w:cs="SimSun"/>
          <w:color w:val="000000"/>
          <w:sz w:val="21"/>
        </w:rPr>
        <w:t xml:space="preserve">接到评委会澄清、说明或者补正要求的投标人如未按要求响应，其风险由投标人自行承担。</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26.</w:t>
      </w:r>
      <w:r>
        <w:rPr>
          <w:rFonts w:ascii="SimSun" w:hAnsi="SimSun" w:eastAsia="SimSun" w:cs="SimSun"/>
          <w:b/>
          <w:color w:val="000000"/>
          <w:sz w:val="21"/>
        </w:rPr>
        <w:t xml:space="preserve">对投标文件的审查</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26.1 </w:t>
      </w:r>
      <w:r>
        <w:rPr>
          <w:rFonts w:ascii="SimSun" w:hAnsi="SimSun" w:eastAsia="SimSun" w:cs="SimSun"/>
          <w:color w:val="000000"/>
          <w:sz w:val="21"/>
        </w:rPr>
        <w:t xml:space="preserve">投标文件审查分为资格审查和符合性审查。</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26.1.1</w:t>
      </w:r>
      <w:r>
        <w:rPr>
          <w:rFonts w:ascii="SimSun" w:hAnsi="SimSun" w:eastAsia="SimSun" w:cs="SimSun"/>
          <w:color w:val="000000"/>
          <w:sz w:val="21"/>
        </w:rPr>
        <w:t xml:space="preserve">资格审查：采购人依据法律法规和招标文件的规定，对投标文件中的资格证明文件进行审查。资格审查的结论，采购人以书面形式向评委会进行反馈。</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采购人在进行资格审查的同时，将在信用中国网站（</w:t>
      </w:r>
      <w:r>
        <w:rPr>
          <w:rFonts w:ascii="Times New Roman" w:hAnsi="Times New Roman" w:eastAsia="Times New Roman" w:cs="Times New Roman"/>
          <w:color w:val="000000"/>
          <w:sz w:val="21"/>
        </w:rPr>
        <w:t xml:space="preserve">www.creditchina.gov.cn</w:t>
      </w:r>
      <w:r>
        <w:rPr>
          <w:rFonts w:ascii="SimSun" w:hAnsi="SimSun" w:eastAsia="SimSun" w:cs="SimSun"/>
          <w:color w:val="000000"/>
          <w:sz w:val="21"/>
        </w:rPr>
        <w:t xml:space="preserve">）查询投标人的信用记录，以确定投标人是否具备投标资格，查询结果留存并归档。</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26.1.2</w:t>
      </w:r>
      <w:r>
        <w:rPr>
          <w:rFonts w:ascii="SimSun" w:hAnsi="SimSun" w:eastAsia="SimSun" w:cs="SimSun"/>
          <w:color w:val="000000"/>
          <w:sz w:val="21"/>
        </w:rPr>
        <w:t xml:space="preserve">符合性审查：评委会依据招标文件的规定，从投标文件的有效性、完整性和对招标文件的响应程度进行审查，以确定其是否实质性响应了招标文件要求。实质性响应是与招标文件要求的全部实质性要求和条件相符，且与招标文件的其余非实质性要求和条件没有重大偏离。</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未通过资格审查或符合性审查的投标人，将通过“苏采云”系统告知其未通过的原因，评审结束后，将不再告知。</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26.1.3</w:t>
      </w:r>
      <w:r>
        <w:rPr>
          <w:rFonts w:ascii="SimSun" w:hAnsi="SimSun" w:eastAsia="SimSun" w:cs="SimSun"/>
          <w:color w:val="000000"/>
          <w:sz w:val="21"/>
        </w:rPr>
        <w:t xml:space="preserve">政府采购异常低价审查：</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（一）评审过程中出现下列情形之一的，评审委员会应当启动异常低价投标（响应）审查程序：</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投标（响应）报价低于采购项目预算</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的，即投标（响应）报价</w:t>
      </w:r>
      <w:r>
        <w:rPr>
          <w:rFonts w:ascii="Times New Roman" w:hAnsi="Times New Roman" w:eastAsia="Times New Roman" w:cs="Times New Roman"/>
          <w:color w:val="000000"/>
          <w:sz w:val="21"/>
        </w:rPr>
        <w:t xml:space="preserve">&lt;</w:t>
      </w:r>
      <w:r>
        <w:rPr>
          <w:rFonts w:ascii="SimSun" w:hAnsi="SimSun" w:eastAsia="SimSun" w:cs="SimSun"/>
          <w:color w:val="000000"/>
          <w:sz w:val="21"/>
        </w:rPr>
        <w:t xml:space="preserve">采购项目预算×</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投标（响应）报价低于采购项目最高限价</w:t>
      </w:r>
      <w:r>
        <w:rPr>
          <w:rFonts w:ascii="Times New Roman" w:hAnsi="Times New Roman" w:eastAsia="Times New Roman" w:cs="Times New Roman"/>
          <w:color w:val="000000"/>
          <w:sz w:val="21"/>
        </w:rPr>
        <w:t xml:space="preserve">45%</w:t>
      </w:r>
      <w:r>
        <w:rPr>
          <w:rFonts w:ascii="SimSun" w:hAnsi="SimSun" w:eastAsia="SimSun" w:cs="SimSun"/>
          <w:color w:val="000000"/>
          <w:sz w:val="21"/>
        </w:rPr>
        <w:t xml:space="preserve">的，即投标（响应）报价</w:t>
      </w:r>
      <w:r>
        <w:rPr>
          <w:rFonts w:ascii="Times New Roman" w:hAnsi="Times New Roman" w:eastAsia="Times New Roman" w:cs="Times New Roman"/>
          <w:color w:val="000000"/>
          <w:sz w:val="21"/>
        </w:rPr>
        <w:t xml:space="preserve">&lt;</w:t>
      </w:r>
      <w:r>
        <w:rPr>
          <w:rFonts w:ascii="SimSun" w:hAnsi="SimSun" w:eastAsia="SimSun" w:cs="SimSun"/>
          <w:color w:val="000000"/>
          <w:sz w:val="21"/>
        </w:rPr>
        <w:t xml:space="preserve">采购项目最高限价×</w:t>
      </w:r>
      <w:r>
        <w:rPr>
          <w:rFonts w:ascii="Times New Roman" w:hAnsi="Times New Roman" w:eastAsia="Times New Roman" w:cs="Times New Roman"/>
          <w:color w:val="000000"/>
          <w:sz w:val="21"/>
        </w:rPr>
        <w:t xml:space="preserve">45%</w:t>
      </w:r>
      <w:r>
        <w:rPr>
          <w:rFonts w:ascii="SimSun" w:hAnsi="SimSun" w:eastAsia="SimSun" w:cs="SimSun"/>
          <w:color w:val="000000"/>
          <w:sz w:val="21"/>
        </w:rPr>
        <w:t xml:space="preserve">；</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评审委员会认定的供应商报价过低、有可能影响产品质量或者不能诚信履约的其他情形。</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会将通过“苏采云”系统要求其在合理的时间内提供书面说明、证明材料。投标人可在投标（响应）文件中提供项目具体成本测算等与报价合理性相关的书面说明及相关证明材料，对投标（响应）价格作出解释，便于评审。</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未通过资格审查或符合性审查的投标人，将通过“苏采云”系统告知其未通过的原因，评审结束后，将不再告知。</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26.2 </w:t>
      </w:r>
      <w:r>
        <w:rPr>
          <w:rFonts w:ascii="SimSun" w:hAnsi="SimSun" w:eastAsia="SimSun" w:cs="SimSun"/>
          <w:color w:val="000000"/>
          <w:sz w:val="21"/>
        </w:rPr>
        <w:t xml:space="preserve">所谓重大偏离是指实质上与招标文件要求不一致，而且限制了合同中买方的权利或投标人的义务，纠正这些偏离将会对其他实质性响应要求的投标人的竞争地位产生不公正的影响，或者投标人的商务技术部分得分畸低，有可能影响产品质量或者不能诚信履约。重大偏离的认定须经过评委会以少数服从多数的原则作出结论。评委会决定投标文件的响应性只根据投标文件本身的内容，而不寻求外部的证据。</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26.3</w:t>
      </w:r>
      <w:r>
        <w:rPr>
          <w:rFonts w:ascii="SimSun" w:hAnsi="SimSun" w:eastAsia="SimSun" w:cs="SimSun"/>
          <w:color w:val="000000"/>
          <w:sz w:val="21"/>
        </w:rPr>
        <w:t xml:space="preserve">如果投标文件实质上没有响应招标文件的要求，评委会将予以拒绝，投标人不得通过修改或撤销不符合要求的偏离而使其投标成为实质性响应的投标。</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26.4 </w:t>
      </w:r>
      <w:r>
        <w:rPr>
          <w:rFonts w:ascii="SimSun" w:hAnsi="SimSun" w:eastAsia="SimSun" w:cs="SimSun"/>
          <w:color w:val="000000"/>
          <w:sz w:val="21"/>
        </w:rPr>
        <w:t xml:space="preserve">评委会将对确定为实质性响应的投标进行进一步审核，看其是否有计算上或累加上的算术错误，修正错误的原则如下：</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）投标文件中开标一览表内容与投标文件中相应内容不一致的，以开标一览表为准。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）大写金额和小写金额不一致的，以大写金额为准。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）单价金额小数点或者百分比有明显错位的，以开标一览表的总价为准，并修改单价。</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）总价金额与按单价汇总金额不一致的，以单价金额计算结果为准。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同时出现两种以上错误的，按照前款规定的顺序修正。</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26.5 </w:t>
      </w:r>
      <w:r>
        <w:rPr>
          <w:rFonts w:ascii="SimSun" w:hAnsi="SimSun" w:eastAsia="SimSun" w:cs="SimSun"/>
          <w:color w:val="000000"/>
          <w:sz w:val="21"/>
        </w:rPr>
        <w:t xml:space="preserve">评委会将按上述修正错误的方法调整投标文件中的投标报价，并通过“苏采云”系统告知投标人，调整后的价格对投标人具有约束力。如果投标人不接受修正后的价格，则其投标将被拒绝。</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27.</w:t>
      </w:r>
      <w:r>
        <w:rPr>
          <w:rFonts w:ascii="SimSun" w:hAnsi="SimSun" w:eastAsia="SimSun" w:cs="SimSun"/>
          <w:b/>
          <w:color w:val="000000"/>
          <w:sz w:val="21"/>
        </w:rPr>
        <w:t xml:space="preserve">无效投标条款和废标条款</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27.1 </w:t>
      </w:r>
      <w:r>
        <w:rPr>
          <w:rFonts w:ascii="SimSun" w:hAnsi="SimSun" w:eastAsia="SimSun" w:cs="SimSun"/>
          <w:color w:val="000000"/>
          <w:sz w:val="21"/>
        </w:rPr>
        <w:t xml:space="preserve">无效投标条款：</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）投标人未按照招标文件要求递交（上传）电子投标文件的。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）投标人在“苏采云”系统规定的时间内未成功解密电子投标文件的。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）投标人不具备招标文件中规定的资格要求的。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）投标人被信用中国网站（</w:t>
      </w:r>
      <w:r>
        <w:rPr>
          <w:rFonts w:ascii="Times New Roman" w:hAnsi="Times New Roman" w:eastAsia="Times New Roman" w:cs="Times New Roman"/>
          <w:color w:val="000000"/>
          <w:sz w:val="21"/>
        </w:rPr>
        <w:t xml:space="preserve">www.creditchina.gov.cn</w:t>
      </w:r>
      <w:r>
        <w:rPr>
          <w:rFonts w:ascii="SimSun" w:hAnsi="SimSun" w:eastAsia="SimSun" w:cs="SimSun"/>
          <w:color w:val="000000"/>
          <w:sz w:val="21"/>
        </w:rPr>
        <w:t xml:space="preserve">）列入失信被执行人、重大税收违法案件当事人名单、政府采购严重失信行为记录名单及其他不符合《中华人民共和国政府采购法》第二十二条规定的情形的。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）投标人提交两个（含两个）以上不同的投标报价的。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）投标人的报价超过了采购预算或者最高限价的。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评标委员会认为投标人的报价明显低于其他通过符合性审查的投标人的报价，有可能影响产品质量或者不能诚信履约的，或评标委员会启动异常低价投标（响应）审查程序，投标人在规定时间内未提供书面说明、证明材料，或提供的书面说明、证明材料不能证明其报价合理性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）不符合招标文件规定的实质性要求和条件的。（本招标文件中斜体且有下划线部分为实质性要求和条件）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）投标人未通过符合性审查的。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）投标文件含有采购人不能接受的附加条件的。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）投标文件未按照招标文件要求加盖公章（</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电子公章）的。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）其他法律法规及本招标文件规定的属于无效投标的情形。</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27.2 </w:t>
      </w:r>
      <w:r>
        <w:rPr>
          <w:rFonts w:ascii="SimSun" w:hAnsi="SimSun" w:eastAsia="SimSun" w:cs="SimSun"/>
          <w:color w:val="000000"/>
          <w:sz w:val="21"/>
        </w:rPr>
        <w:t xml:space="preserve">有下列情形之一的，视为投标人串通投标，投标无效：</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）不同投标人的投标文件由同一单位或者个人编制。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）不同投标人委托同一单位或者个人办理投标事宜。</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）不同投标人的投标文件载明的项目管理成员或者联系人员为同一人。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）不同投标人的投标文件异常一致或者投标报价呈规律性差异。</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）不同投标人的投标文件相互混装。</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27.3 </w:t>
      </w:r>
      <w:r>
        <w:rPr>
          <w:rFonts w:ascii="SimSun" w:hAnsi="SimSun" w:eastAsia="SimSun" w:cs="SimSun"/>
          <w:color w:val="000000"/>
          <w:sz w:val="21"/>
        </w:rPr>
        <w:t xml:space="preserve">废标条款：</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）因“苏采云”系统故障原因造成开标不成功的。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）评委会认定招标文件存在歧义、重大缺陷导致评标工作无法进行，或者招标文件内容违反国家有关强制性规定的。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）符合专业条件的供应商或者对招标文件作实质响应的供应商不足三家的。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）出现影响采购公正的违法、违规行为的。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）因重大变故，采购任务取消的。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27.4 </w:t>
      </w:r>
      <w:r>
        <w:rPr>
          <w:rFonts w:ascii="SimSun" w:hAnsi="SimSun" w:eastAsia="SimSun" w:cs="SimSun"/>
          <w:color w:val="000000"/>
          <w:sz w:val="21"/>
        </w:rPr>
        <w:t xml:space="preserve">出现投标截止时间结束后参加投标的供应商或者在评标期间对招标文件做出实质响应的供应商不足三家情况的，按照政府采购有关规定执行。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六、定标</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28.</w:t>
      </w:r>
      <w:r>
        <w:rPr>
          <w:rFonts w:ascii="SimSun" w:hAnsi="SimSun" w:eastAsia="SimSun" w:cs="SimSun"/>
          <w:b/>
          <w:color w:val="000000"/>
          <w:sz w:val="21"/>
        </w:rPr>
        <w:t xml:space="preserve">确定中标单位</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28.1 </w:t>
      </w:r>
      <w:r>
        <w:rPr>
          <w:rFonts w:ascii="SimSun" w:hAnsi="SimSun" w:eastAsia="SimSun" w:cs="SimSun"/>
          <w:color w:val="000000"/>
          <w:sz w:val="21"/>
        </w:rPr>
        <w:t xml:space="preserve">中标候选人的选取原则和数量详见招标文件第五章规定。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28.2 </w:t>
      </w:r>
      <w:r>
        <w:rPr>
          <w:rFonts w:ascii="SimSun" w:hAnsi="SimSun" w:eastAsia="SimSun" w:cs="SimSun"/>
          <w:color w:val="000000"/>
          <w:sz w:val="21"/>
        </w:rPr>
        <w:t xml:space="preserve">采购人应根据评委会推荐的中标候选人确定中标人。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28.3 </w:t>
      </w:r>
      <w:r>
        <w:rPr>
          <w:rFonts w:ascii="SimSun" w:hAnsi="SimSun" w:eastAsia="SimSun" w:cs="SimSun"/>
          <w:color w:val="000000"/>
          <w:sz w:val="21"/>
        </w:rPr>
        <w:t xml:space="preserve">交易中心将在江苏政府采购网发布中标公告，公告期限为</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个工作日。</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28.4 </w:t>
      </w:r>
      <w:r>
        <w:rPr>
          <w:rFonts w:ascii="SimSun" w:hAnsi="SimSun" w:eastAsia="SimSun" w:cs="SimSun"/>
          <w:color w:val="000000"/>
          <w:sz w:val="21"/>
        </w:rPr>
        <w:t xml:space="preserve">若有充分证据证明，中标人存在下列情形之一的，一经查实，将被取消中标资格：</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）提供虚假材料谋取中标、成交的。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）采取不正当手段诋毁、排挤其他供应商的。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）与采购人、其他供应商或者交易中心恶意串通的。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）向采购人、交易中心行贿或者提供其他不正当利益的。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）在招标采购过程中与采购人进行协商谈判的。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）属于本招标文件规定的无效情形，但在评标过程中又未被评委会发现的。</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29.</w:t>
      </w:r>
      <w:r>
        <w:rPr>
          <w:rFonts w:ascii="SimSun" w:hAnsi="SimSun" w:eastAsia="SimSun" w:cs="SimSun"/>
          <w:b/>
          <w:color w:val="000000"/>
          <w:sz w:val="21"/>
        </w:rPr>
        <w:t xml:space="preserve">中标通知书</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29.1 </w:t>
      </w:r>
      <w:r>
        <w:rPr>
          <w:rFonts w:ascii="SimSun" w:hAnsi="SimSun" w:eastAsia="SimSun" w:cs="SimSun"/>
          <w:color w:val="000000"/>
          <w:sz w:val="21"/>
        </w:rPr>
        <w:t xml:space="preserve">中标结果确定后，交易中心将向中标人发出中标通知书。请中标人在中标结果公告届满之日起</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日内，登录“苏采云”系统及时领取（下载）中标通知书。因系统存储空间有限，自中标结果公告届满之日起</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日后，“苏采云”系统不再保证提供中标通知书下载服务，因未及时下载造成的不利后果由中标人自行承担。</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29.2 </w:t>
      </w:r>
      <w:r>
        <w:rPr>
          <w:rFonts w:ascii="SimSun" w:hAnsi="SimSun" w:eastAsia="SimSun" w:cs="SimSun"/>
          <w:color w:val="000000"/>
          <w:sz w:val="21"/>
        </w:rPr>
        <w:t xml:space="preserve">中标通知书将作为政府采购合同的一个组成部分。对采购人和中标人均具有法律效力。中标通知书发出后，采购人改变中标结果的，或者中标人放弃中标项目的，应当依法承担法律责任。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七、授予合同</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30.</w:t>
      </w:r>
      <w:r>
        <w:rPr>
          <w:rFonts w:ascii="SimSun" w:hAnsi="SimSun" w:eastAsia="SimSun" w:cs="SimSun"/>
          <w:b/>
          <w:color w:val="000000"/>
          <w:sz w:val="21"/>
        </w:rPr>
        <w:t xml:space="preserve">履约保证金</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30.1</w:t>
      </w:r>
      <w:r>
        <w:rPr>
          <w:rFonts w:ascii="SimSun" w:hAnsi="SimSun" w:eastAsia="SimSun" w:cs="SimSun"/>
          <w:color w:val="000000"/>
          <w:sz w:val="21"/>
        </w:rPr>
        <w:t xml:space="preserve">本项目不收取履约保证金。</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31.</w:t>
      </w:r>
      <w:r>
        <w:rPr>
          <w:rFonts w:ascii="SimSun" w:hAnsi="SimSun" w:eastAsia="SimSun" w:cs="SimSun"/>
          <w:b/>
          <w:color w:val="000000"/>
          <w:sz w:val="21"/>
        </w:rPr>
        <w:t xml:space="preserve">签订合同</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31.1 </w:t>
      </w:r>
      <w:r>
        <w:rPr>
          <w:rFonts w:ascii="SimSun" w:hAnsi="SimSun" w:eastAsia="SimSun" w:cs="SimSun"/>
          <w:color w:val="000000"/>
          <w:sz w:val="21"/>
        </w:rPr>
        <w:t xml:space="preserve">中标人应当在中标通知书发出之日起三十日内，按照招标文件和中标人投标文件的规定，与采购人签订政府采购合同。</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31.2 </w:t>
      </w:r>
      <w:r>
        <w:rPr>
          <w:rFonts w:ascii="SimSun" w:hAnsi="SimSun" w:eastAsia="SimSun" w:cs="SimSun"/>
          <w:color w:val="000000"/>
          <w:sz w:val="21"/>
        </w:rPr>
        <w:t xml:space="preserve">招标文件、中标人的投标文件及招标过程中有关澄清、承诺等文件均应作为合同附件。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31.3 </w:t>
      </w:r>
      <w:r>
        <w:rPr>
          <w:rFonts w:ascii="SimSun" w:hAnsi="SimSun" w:eastAsia="SimSun" w:cs="SimSun"/>
          <w:color w:val="000000"/>
          <w:sz w:val="21"/>
        </w:rPr>
        <w:t xml:space="preserve">签订合同后，中标人不得将合同标的转包。未经采购人同意，中标人也不得采用分包的形式履行合同，否则采购人有权终止合同。转包或分包造成采购人损失的，中标人应承担相应赔偿责任。</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32.</w:t>
      </w:r>
      <w:r>
        <w:rPr>
          <w:rFonts w:ascii="SimSun" w:hAnsi="SimSun" w:eastAsia="SimSun" w:cs="SimSun"/>
          <w:b/>
          <w:color w:val="000000"/>
          <w:sz w:val="21"/>
        </w:rPr>
        <w:t xml:space="preserve">合同标的的追加</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32.1 </w:t>
      </w:r>
      <w:r>
        <w:rPr>
          <w:rFonts w:ascii="SimSun" w:hAnsi="SimSun" w:eastAsia="SimSun" w:cs="SimSun"/>
          <w:color w:val="000000"/>
          <w:sz w:val="21"/>
        </w:rPr>
        <w:t xml:space="preserve">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33.</w:t>
      </w:r>
      <w:r>
        <w:rPr>
          <w:rFonts w:ascii="SimSun" w:hAnsi="SimSun" w:eastAsia="SimSun" w:cs="SimSun"/>
          <w:b/>
          <w:color w:val="000000"/>
          <w:sz w:val="21"/>
        </w:rPr>
        <w:t xml:space="preserve">政府采购履约资金扶持政策</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33.1 </w:t>
      </w:r>
      <w:r>
        <w:rPr>
          <w:rFonts w:ascii="SimSun" w:hAnsi="SimSun" w:eastAsia="SimSun" w:cs="SimSun"/>
          <w:color w:val="000000"/>
          <w:sz w:val="21"/>
        </w:rPr>
        <w:t xml:space="preserve">中标人可凭政府采购合同办理融资贷款，详情请见江苏政府采购网“政采贷”专栏。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八、询问与质疑</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34.</w:t>
      </w:r>
      <w:r>
        <w:rPr>
          <w:rFonts w:ascii="SimSun" w:hAnsi="SimSun" w:eastAsia="SimSun" w:cs="SimSun"/>
          <w:b/>
          <w:color w:val="000000"/>
          <w:sz w:val="21"/>
        </w:rPr>
        <w:t xml:space="preserve">询问</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34.1 </w:t>
      </w:r>
      <w:r>
        <w:rPr>
          <w:rFonts w:ascii="SimSun" w:hAnsi="SimSun" w:eastAsia="SimSun" w:cs="SimSun"/>
          <w:color w:val="000000"/>
          <w:sz w:val="21"/>
        </w:rPr>
        <w:t xml:space="preserve">供应商对政府采购活动事项有疑问的，可以提出询问，采购人或者交易中心应当在</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个工作日内对投标人依法提出的询问作出答复，但答复的内容不得涉及商业秘密。供应商提出的询问超出采购人对交易中心委托授权范围的，交易中心应当告知其向采购人提出。</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35.</w:t>
      </w:r>
      <w:r>
        <w:rPr>
          <w:rFonts w:ascii="SimSun" w:hAnsi="SimSun" w:eastAsia="SimSun" w:cs="SimSun"/>
          <w:b/>
          <w:color w:val="000000"/>
          <w:sz w:val="21"/>
        </w:rPr>
        <w:t xml:space="preserve">质疑提出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35.1 </w:t>
      </w:r>
      <w:r>
        <w:rPr>
          <w:rFonts w:ascii="SimSun" w:hAnsi="SimSun" w:eastAsia="SimSun" w:cs="SimSun"/>
          <w:color w:val="000000"/>
          <w:sz w:val="21"/>
        </w:rPr>
        <w:t xml:space="preserve">提出质疑的供应商应当是参与所质疑项目采购活动的供应商。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35.2 </w:t>
      </w:r>
      <w:r>
        <w:rPr>
          <w:rFonts w:ascii="SimSun" w:hAnsi="SimSun" w:eastAsia="SimSun" w:cs="SimSun"/>
          <w:color w:val="000000"/>
          <w:sz w:val="21"/>
        </w:rPr>
        <w:t xml:space="preserve">供应商认为采购文件、采购过程、采购结果使自己的权益受到损害的，可以在知道或者应知其权益受到损害之日（获取采购文件之日、中标公告发布之日）起七个工作日内以书面形式向采购人、交易中心提出质疑。</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供应商应当在法定质疑期内一次性提出针对同一采购程序环节的质疑，供应商如在法定期限内对同一采购程序环节提出多次质疑的，采购人、交易中心将只对供应商第一次质疑作出答复。</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未按照采购公告要求获取采购文件的供应商，视为未参与该项目采购活动，不具备对该采购文件提出质疑的法定权利。</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35.3 </w:t>
      </w:r>
      <w:r>
        <w:rPr>
          <w:rFonts w:ascii="SimSun" w:hAnsi="SimSun" w:eastAsia="SimSun" w:cs="SimSun"/>
          <w:color w:val="000000"/>
          <w:sz w:val="21"/>
        </w:rPr>
        <w:t xml:space="preserve">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35.4 </w:t>
      </w:r>
      <w:r>
        <w:rPr>
          <w:rFonts w:ascii="SimSun" w:hAnsi="SimSun" w:eastAsia="SimSun" w:cs="SimSun"/>
          <w:color w:val="000000"/>
          <w:sz w:val="21"/>
        </w:rPr>
        <w:t xml:space="preserve">质疑函的接收方式为供应商书面原件提交。联系部门、联系电话和通讯地址详见招标文件第一章。质疑实行实名制，不得进行虚假、恶意质疑。</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35.5 </w:t>
      </w:r>
      <w:r>
        <w:rPr>
          <w:rFonts w:ascii="SimSun" w:hAnsi="SimSun" w:eastAsia="SimSun" w:cs="SimSun"/>
          <w:color w:val="000000"/>
          <w:sz w:val="21"/>
        </w:rPr>
        <w:t xml:space="preserve">质疑函应当使用范本，详见招标文件第六章。供应商提出质疑应当提交质疑函和必要的证明材料，应当包括下列内容：</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）供应商的姓名或者名称、地址、邮编、联系人及联系电话；</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）质疑项目的名称、编号；</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）具体、明确的质疑事项和与质疑事项相关的请求；</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）事实依据；</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）必要的法律依据；</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）提出质疑的日期；</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）必要的证明材料；</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）营业执照复印件及授权委托书原件、法定代表人（单位负责人）身份证复印件、委托代理人身份证复印件。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供应商为自然人的，应当由本人签字；供应商为法人或者其他组织的，应当由法定代表人、主要负责人，或者其委托代理人签字或者盖章，并加盖单位公章。</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36.</w:t>
      </w:r>
      <w:r>
        <w:rPr>
          <w:rFonts w:ascii="SimSun" w:hAnsi="SimSun" w:eastAsia="SimSun" w:cs="SimSun"/>
          <w:b/>
          <w:color w:val="000000"/>
          <w:sz w:val="21"/>
        </w:rPr>
        <w:t xml:space="preserve">质疑函的受理和答复</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36.1 </w:t>
      </w:r>
      <w:r>
        <w:rPr>
          <w:rFonts w:ascii="SimSun" w:hAnsi="SimSun" w:eastAsia="SimSun" w:cs="SimSun"/>
          <w:color w:val="000000"/>
          <w:sz w:val="21"/>
        </w:rPr>
        <w:t xml:space="preserve">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36.2 </w:t>
      </w:r>
      <w:r>
        <w:rPr>
          <w:rFonts w:ascii="SimSun" w:hAnsi="SimSun" w:eastAsia="SimSun" w:cs="SimSun"/>
          <w:color w:val="000000"/>
          <w:sz w:val="21"/>
        </w:rPr>
        <w:t xml:space="preserve">对符合法定要求的质疑，采购人、交易中心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36.3 </w:t>
      </w:r>
      <w:r>
        <w:rPr>
          <w:rFonts w:ascii="SimSun" w:hAnsi="SimSun" w:eastAsia="SimSun" w:cs="SimSun"/>
          <w:color w:val="000000"/>
          <w:sz w:val="21"/>
        </w:rPr>
        <w:t xml:space="preserve">对不符合质疑要求的，采购人、交易中心有权要求其补充必要的证明材料，质疑供应商未在法定时间内补充必要的证明材料的，不利后果由质疑供应商自行承担。</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36.4 </w:t>
      </w:r>
      <w:r>
        <w:rPr>
          <w:rFonts w:ascii="SimSun" w:hAnsi="SimSun" w:eastAsia="SimSun" w:cs="SimSun"/>
          <w:color w:val="000000"/>
          <w:sz w:val="21"/>
        </w:rPr>
        <w:t xml:space="preserve">以下情形的质疑依法不予受理：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）内容不符合《政府采购质疑和投诉办法》第十二条规定的质疑。</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）超出政府采购法定期限的质疑。</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）以传真、电子邮件等方式递交的非原件形式的质疑。</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）未参与采购活动或在采购活动中自身权益未受到损害的供应商提出的质疑。</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）供应商组成联合体，联合体中任何一方或多方未按要求签字（盖章）、加盖公章的质疑。</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36.5 </w:t>
      </w:r>
      <w:r>
        <w:rPr>
          <w:rFonts w:ascii="SimSun" w:hAnsi="SimSun" w:eastAsia="SimSun" w:cs="SimSun"/>
          <w:color w:val="000000"/>
          <w:sz w:val="21"/>
        </w:rPr>
        <w:t xml:space="preserve">采购人、交易中心依法受理的质疑，将按照政府采购有关规定，在法定期限内作出答复。</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36.6 </w:t>
      </w:r>
      <w:r>
        <w:rPr>
          <w:rFonts w:ascii="SimSun" w:hAnsi="SimSun" w:eastAsia="SimSun" w:cs="SimSun"/>
          <w:color w:val="000000"/>
          <w:sz w:val="21"/>
        </w:rPr>
        <w:t xml:space="preserve">因质疑供应商所留联系方式无效，或者无故不接收，导致质疑答复结果无法送达的，视为质疑供应商主动放弃知晓质疑答复结果的权利。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36.7 </w:t>
      </w:r>
      <w:r>
        <w:rPr>
          <w:rFonts w:ascii="SimSun" w:hAnsi="SimSun" w:eastAsia="SimSun" w:cs="SimSun"/>
          <w:color w:val="000000"/>
          <w:sz w:val="21"/>
        </w:rPr>
        <w:t xml:space="preserve">未尽事宜，依照有关法律、法规执行。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九、政府采购政策功能：本项目专门面向中小企业</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38.</w:t>
      </w:r>
      <w:r>
        <w:rPr>
          <w:rFonts w:ascii="SimSun" w:hAnsi="SimSun" w:eastAsia="SimSun" w:cs="SimSun"/>
          <w:b/>
          <w:color w:val="000000"/>
          <w:sz w:val="21"/>
        </w:rPr>
        <w:t xml:space="preserve">促进中小企业发展</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38.1 </w:t>
      </w:r>
      <w:r>
        <w:rPr>
          <w:rFonts w:ascii="SimSun" w:hAnsi="SimSun" w:eastAsia="SimSun" w:cs="SimSun"/>
          <w:color w:val="000000"/>
          <w:sz w:val="21"/>
        </w:rPr>
        <w:t xml:space="preserve">本项目执行《关于印发〈政府采购促进中小企业发展管理办法〉的通知》（财库〔</w:t>
      </w:r>
      <w:r>
        <w:rPr>
          <w:rFonts w:ascii="Times New Roman" w:hAnsi="Times New Roman" w:eastAsia="Times New Roman" w:cs="Times New Roman"/>
          <w:color w:val="000000"/>
          <w:sz w:val="21"/>
        </w:rPr>
        <w:t xml:space="preserve">2020</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46</w:t>
      </w:r>
      <w:r>
        <w:rPr>
          <w:rFonts w:ascii="SimSun" w:hAnsi="SimSun" w:eastAsia="SimSun" w:cs="SimSun"/>
          <w:color w:val="000000"/>
          <w:sz w:val="21"/>
        </w:rPr>
        <w:t xml:space="preserve">号）、《关于印发中小企业划型标准规定的通知》（工信部联企业〔</w:t>
      </w:r>
      <w:r>
        <w:rPr>
          <w:rFonts w:ascii="Times New Roman" w:hAnsi="Times New Roman" w:eastAsia="Times New Roman" w:cs="Times New Roman"/>
          <w:color w:val="000000"/>
          <w:sz w:val="21"/>
        </w:rPr>
        <w:t xml:space="preserve">2011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号）、《关于政府采购支持监狱企业发展有关问题的通知》（财库〔</w:t>
      </w:r>
      <w:r>
        <w:rPr>
          <w:rFonts w:ascii="Times New Roman" w:hAnsi="Times New Roman" w:eastAsia="Times New Roman" w:cs="Times New Roman"/>
          <w:color w:val="000000"/>
          <w:sz w:val="21"/>
        </w:rPr>
        <w:t xml:space="preserve">2014</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68</w:t>
      </w:r>
      <w:r>
        <w:rPr>
          <w:rFonts w:ascii="SimSun" w:hAnsi="SimSun" w:eastAsia="SimSun" w:cs="SimSun"/>
          <w:color w:val="000000"/>
          <w:sz w:val="21"/>
        </w:rPr>
        <w:t xml:space="preserve">号）、《关于促进残疾人就业政府采购政策的通知》（财库〔</w:t>
      </w:r>
      <w:r>
        <w:rPr>
          <w:rFonts w:ascii="Times New Roman" w:hAnsi="Times New Roman" w:eastAsia="Times New Roman" w:cs="Times New Roman"/>
          <w:color w:val="000000"/>
          <w:sz w:val="21"/>
        </w:rPr>
        <w:t xml:space="preserve">2017</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141</w:t>
      </w:r>
      <w:r>
        <w:rPr>
          <w:rFonts w:ascii="SimSun" w:hAnsi="SimSun" w:eastAsia="SimSun" w:cs="SimSun"/>
          <w:color w:val="000000"/>
          <w:sz w:val="21"/>
        </w:rPr>
        <w:t xml:space="preserve">号）、《关于进一步加大政府采购支持中小企业力度的通知》（财库〔</w:t>
      </w:r>
      <w:r>
        <w:rPr>
          <w:rFonts w:ascii="Times New Roman" w:hAnsi="Times New Roman" w:eastAsia="Times New Roman" w:cs="Times New Roman"/>
          <w:color w:val="000000"/>
          <w:sz w:val="21"/>
        </w:rPr>
        <w:t xml:space="preserve">2022</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19</w:t>
      </w:r>
      <w:r>
        <w:rPr>
          <w:rFonts w:ascii="SimSun" w:hAnsi="SimSun" w:eastAsia="SimSun" w:cs="SimSun"/>
          <w:color w:val="000000"/>
          <w:sz w:val="21"/>
        </w:rPr>
        <w:t xml:space="preserve">号）的规定，专门面向中型企业、小型企业、微型企业、残疾人福利性单位、监狱企业采购。</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38.2 </w:t>
      </w:r>
      <w:r>
        <w:rPr>
          <w:rFonts w:ascii="SimSun" w:hAnsi="SimSun" w:eastAsia="SimSun" w:cs="SimSun"/>
          <w:color w:val="000000"/>
          <w:sz w:val="21"/>
        </w:rPr>
        <w:t xml:space="preserve">参加本项目政府采购活动的供应商应当提供的材料：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）投标人为中型企业、小型企业、微型企业的，提供《中小企业声明函》（第六章 投标文件格式）。</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）符合《关于促进残疾人就业政府采购政策的通知》（财库〔</w:t>
      </w:r>
      <w:r>
        <w:rPr>
          <w:rFonts w:ascii="Times New Roman" w:hAnsi="Times New Roman" w:eastAsia="Times New Roman" w:cs="Times New Roman"/>
          <w:color w:val="000000"/>
          <w:sz w:val="21"/>
        </w:rPr>
        <w:t xml:space="preserve">2017</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141</w:t>
      </w:r>
      <w:r>
        <w:rPr>
          <w:rFonts w:ascii="SimSun" w:hAnsi="SimSun" w:eastAsia="SimSun" w:cs="SimSun"/>
          <w:color w:val="000000"/>
          <w:sz w:val="21"/>
        </w:rPr>
        <w:t xml:space="preserve">号）规定的条件并提供《残疾人福利性单位声明函》（第六章 投标文件格式）的残疾人福利性单位视同小型、微型企业。</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）符合《关于政府采购支持监狱企业发展有关问题的通知》（财库〔</w:t>
      </w:r>
      <w:r>
        <w:rPr>
          <w:rFonts w:ascii="Times New Roman" w:hAnsi="Times New Roman" w:eastAsia="Times New Roman" w:cs="Times New Roman"/>
          <w:color w:val="000000"/>
          <w:sz w:val="21"/>
        </w:rPr>
        <w:t xml:space="preserve">2014</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68</w:t>
      </w:r>
      <w:r>
        <w:rPr>
          <w:rFonts w:ascii="SimSun" w:hAnsi="SimSun" w:eastAsia="SimSun" w:cs="SimSun"/>
          <w:color w:val="000000"/>
          <w:sz w:val="21"/>
        </w:rPr>
        <w:t xml:space="preserve">号）规定的监狱企业并提供省级以上监狱管理局、戒毒管理局（含新疆生产建设兵团）出具的属于监狱企业证明文件的，视同小型、微型企业。</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38.3 </w:t>
      </w:r>
      <w:r>
        <w:rPr>
          <w:rFonts w:ascii="SimSun" w:hAnsi="SimSun" w:eastAsia="SimSun" w:cs="SimSun"/>
          <w:color w:val="000000"/>
          <w:sz w:val="21"/>
        </w:rPr>
        <w:t xml:space="preserve">享受扶持政策获得政府采购合同的，小微型企业不得将合同分包给大中型企业，中型企业不得将合同分包给大型企业。</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39.</w:t>
      </w:r>
      <w:r>
        <w:rPr>
          <w:rFonts w:ascii="SimSun" w:hAnsi="SimSun" w:eastAsia="SimSun" w:cs="SimSun"/>
          <w:b/>
          <w:color w:val="000000"/>
          <w:sz w:val="21"/>
        </w:rPr>
        <w:t xml:space="preserve">政府采购需求标准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39.1 </w:t>
      </w:r>
      <w:r>
        <w:rPr>
          <w:rFonts w:ascii="SimSun" w:hAnsi="SimSun" w:eastAsia="SimSun" w:cs="SimSun"/>
          <w:color w:val="000000"/>
          <w:sz w:val="21"/>
        </w:rPr>
        <w:t xml:space="preserve">本项目执行《绿色数据中心政府采购需求标准（试行）》《台式计算机政府采购需求标准（</w:t>
      </w:r>
      <w:r>
        <w:rPr>
          <w:rFonts w:ascii="Times New Roman" w:hAnsi="Times New Roman" w:eastAsia="Times New Roman" w:cs="Times New Roman"/>
          <w:color w:val="000000"/>
          <w:sz w:val="21"/>
        </w:rPr>
        <w:t xml:space="preserve">2023</w:t>
      </w:r>
      <w:r>
        <w:rPr>
          <w:rFonts w:ascii="SimSun" w:hAnsi="SimSun" w:eastAsia="SimSun" w:cs="SimSun"/>
          <w:color w:val="000000"/>
          <w:sz w:val="21"/>
        </w:rPr>
        <w:t xml:space="preserve">年版）》《便携式计算机政府采购需求标准（</w:t>
      </w:r>
      <w:r>
        <w:rPr>
          <w:rFonts w:ascii="Times New Roman" w:hAnsi="Times New Roman" w:eastAsia="Times New Roman" w:cs="Times New Roman"/>
          <w:color w:val="000000"/>
          <w:sz w:val="21"/>
        </w:rPr>
        <w:t xml:space="preserve">2023</w:t>
      </w:r>
      <w:r>
        <w:rPr>
          <w:rFonts w:ascii="SimSun" w:hAnsi="SimSun" w:eastAsia="SimSun" w:cs="SimSun"/>
          <w:color w:val="000000"/>
          <w:sz w:val="21"/>
        </w:rPr>
        <w:t xml:space="preserve">年版）》《一体式计算机政府采购需求标准（</w:t>
      </w:r>
      <w:r>
        <w:rPr>
          <w:rFonts w:ascii="Times New Roman" w:hAnsi="Times New Roman" w:eastAsia="Times New Roman" w:cs="Times New Roman"/>
          <w:color w:val="000000"/>
          <w:sz w:val="21"/>
        </w:rPr>
        <w:t xml:space="preserve">2023</w:t>
      </w:r>
      <w:r>
        <w:rPr>
          <w:rFonts w:ascii="SimSun" w:hAnsi="SimSun" w:eastAsia="SimSun" w:cs="SimSun"/>
          <w:color w:val="000000"/>
          <w:sz w:val="21"/>
        </w:rPr>
        <w:t xml:space="preserve">年版）》《工作站政府采购需求标准（</w:t>
      </w:r>
      <w:r>
        <w:rPr>
          <w:rFonts w:ascii="Times New Roman" w:hAnsi="Times New Roman" w:eastAsia="Times New Roman" w:cs="Times New Roman"/>
          <w:color w:val="000000"/>
          <w:sz w:val="21"/>
        </w:rPr>
        <w:t xml:space="preserve">2023</w:t>
      </w:r>
      <w:r>
        <w:rPr>
          <w:rFonts w:ascii="SimSun" w:hAnsi="SimSun" w:eastAsia="SimSun" w:cs="SimSun"/>
          <w:color w:val="000000"/>
          <w:sz w:val="21"/>
        </w:rPr>
        <w:t xml:space="preserve">年版）》《通用服务器政府采购需求标准（</w:t>
      </w:r>
      <w:r>
        <w:rPr>
          <w:rFonts w:ascii="Times New Roman" w:hAnsi="Times New Roman" w:eastAsia="Times New Roman" w:cs="Times New Roman"/>
          <w:color w:val="000000"/>
          <w:sz w:val="21"/>
        </w:rPr>
        <w:t xml:space="preserve">2023</w:t>
      </w:r>
      <w:r>
        <w:rPr>
          <w:rFonts w:ascii="SimSun" w:hAnsi="SimSun" w:eastAsia="SimSun" w:cs="SimSun"/>
          <w:color w:val="000000"/>
          <w:sz w:val="21"/>
        </w:rPr>
        <w:t xml:space="preserve">年版）》《操作系统政府采购需求标准（</w:t>
      </w:r>
      <w:r>
        <w:rPr>
          <w:rFonts w:ascii="Times New Roman" w:hAnsi="Times New Roman" w:eastAsia="Times New Roman" w:cs="Times New Roman"/>
          <w:color w:val="000000"/>
          <w:sz w:val="21"/>
        </w:rPr>
        <w:t xml:space="preserve">2023</w:t>
      </w:r>
      <w:r>
        <w:rPr>
          <w:rFonts w:ascii="SimSun" w:hAnsi="SimSun" w:eastAsia="SimSun" w:cs="SimSun"/>
          <w:color w:val="000000"/>
          <w:sz w:val="21"/>
        </w:rPr>
        <w:t xml:space="preserve">年版）》《数据库政府采购需求标准（</w:t>
      </w:r>
      <w:r>
        <w:rPr>
          <w:rFonts w:ascii="Times New Roman" w:hAnsi="Times New Roman" w:eastAsia="Times New Roman" w:cs="Times New Roman"/>
          <w:color w:val="000000"/>
          <w:sz w:val="21"/>
        </w:rPr>
        <w:t xml:space="preserve">2023</w:t>
      </w:r>
      <w:r>
        <w:rPr>
          <w:rFonts w:ascii="SimSun" w:hAnsi="SimSun" w:eastAsia="SimSun" w:cs="SimSun"/>
          <w:color w:val="000000"/>
          <w:sz w:val="21"/>
        </w:rPr>
        <w:t xml:space="preserve">年版）》等政府采购需求标准。采购标的如涉及数据中心相关设备及运维服务、台式计算机、便携式计算机、一体式计算机、工作站、通用服务器、操作系统、数据库的，执行相关政府采购需求标准。</w:t>
      </w:r>
      <w:r/>
    </w:p>
    <w:p>
      <w:pPr>
        <w:ind w:left="0" w:right="0" w:firstLine="44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420" w:right="0" w:firstLine="42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0"/>
          <w:u w:val="none"/>
        </w:rPr>
        <w:t xml:space="preserve">第三章合同条款及格式</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连云港市政府采购合同（服务）</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（合同编号：***）</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甲方：（买方）</w:t>
      </w:r>
      <w:r>
        <w:rPr>
          <w:rFonts w:ascii="Times New Roman" w:hAnsi="Times New Roman" w:eastAsia="Times New Roman" w:cs="Times New Roman"/>
          <w:color w:val="000000"/>
          <w:sz w:val="24"/>
        </w:rPr>
        <w:t xml:space="preserve">_________</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乙方：（卖方）</w:t>
      </w:r>
      <w:r>
        <w:rPr>
          <w:rFonts w:ascii="Times New Roman" w:hAnsi="Times New Roman" w:eastAsia="Times New Roman" w:cs="Times New Roman"/>
          <w:color w:val="000000"/>
          <w:sz w:val="24"/>
        </w:rPr>
        <w:t xml:space="preserve">_________</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甲、乙双方根据年月日项目（项目编号：）公开招标的结果，签订本合同。</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一、合同内容</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 </w:t>
      </w:r>
      <w:r>
        <w:rPr>
          <w:rFonts w:ascii="SimSun" w:hAnsi="SimSun" w:eastAsia="SimSun" w:cs="SimSun"/>
          <w:color w:val="000000"/>
          <w:sz w:val="24"/>
        </w:rPr>
        <w:t xml:space="preserve">服务内容：。</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 </w:t>
      </w:r>
      <w:r>
        <w:rPr>
          <w:rFonts w:ascii="SimSun" w:hAnsi="SimSun" w:eastAsia="SimSun" w:cs="SimSun"/>
          <w:color w:val="000000"/>
          <w:sz w:val="24"/>
        </w:rPr>
        <w:t xml:space="preserve">服务要求：。</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 </w:t>
      </w:r>
      <w:r>
        <w:rPr>
          <w:rFonts w:ascii="SimSun" w:hAnsi="SimSun" w:eastAsia="SimSun" w:cs="SimSun"/>
          <w:color w:val="000000"/>
          <w:sz w:val="24"/>
        </w:rPr>
        <w:t xml:space="preserve">服务标准：。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1.4 </w:t>
      </w:r>
      <w:r>
        <w:rPr>
          <w:rFonts w:ascii="SimSun" w:hAnsi="SimSun" w:eastAsia="SimSun" w:cs="SimSun"/>
          <w:color w:val="000000"/>
          <w:sz w:val="24"/>
        </w:rPr>
        <w:t xml:space="preserve">补充条款：。</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二、合同金额</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 </w:t>
      </w:r>
      <w:r>
        <w:rPr>
          <w:rFonts w:ascii="SimSun" w:hAnsi="SimSun" w:eastAsia="SimSun" w:cs="SimSun"/>
          <w:color w:val="000000"/>
          <w:sz w:val="24"/>
        </w:rPr>
        <w:t xml:space="preserve">本合同金额为人民币（大写）：元（</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 </w:t>
      </w:r>
      <w:r>
        <w:rPr>
          <w:rFonts w:ascii="SimSun" w:hAnsi="SimSun" w:eastAsia="SimSun" w:cs="SimSun"/>
          <w:color w:val="000000"/>
          <w:sz w:val="24"/>
        </w:rPr>
        <w:t xml:space="preserve">本合同价款包含所有乙方提供合同约定产品和服务的报酬及乙方提供合同中产品和服务所支出的必要费用，甲方在上述合同价款之外不再向乙方支付其他任何费用。</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三、技术资料</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 </w:t>
      </w:r>
      <w:r>
        <w:rPr>
          <w:rFonts w:ascii="SimSun" w:hAnsi="SimSun" w:eastAsia="SimSun" w:cs="SimSun"/>
          <w:color w:val="000000"/>
          <w:sz w:val="24"/>
        </w:rPr>
        <w:t xml:space="preserve">乙方应按招标文件规定的时间向甲方提供有关技术资料。</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 </w:t>
      </w:r>
      <w:r>
        <w:rPr>
          <w:rFonts w:ascii="SimSun" w:hAnsi="SimSun" w:eastAsia="SimSun" w:cs="SimSun"/>
          <w:color w:val="000000"/>
          <w:sz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四、知识产权</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4.1 </w:t>
      </w:r>
      <w:r>
        <w:rPr>
          <w:rFonts w:ascii="SimSun" w:hAnsi="SimSun" w:eastAsia="SimSun" w:cs="SimSun"/>
          <w:color w:val="000000"/>
          <w:sz w:val="24"/>
        </w:rPr>
        <w:t xml:space="preserve">乙方应保证甲方在使用、接受本合同产品和服务或其任何一部分时不受第三方提出侵犯其专利权、版权、商标权和工业设计权等知识产权的起诉。一旦出现侵权，由乙方负全部责任。</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五、产权担保</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 </w:t>
      </w:r>
      <w:r>
        <w:rPr>
          <w:rFonts w:ascii="SimSun" w:hAnsi="SimSun" w:eastAsia="SimSun" w:cs="SimSun"/>
          <w:color w:val="000000"/>
          <w:sz w:val="24"/>
        </w:rPr>
        <w:t xml:space="preserve">乙方保证所交付标的的所有权完全属于乙方且无任何抵押、查封等产权瑕疵。</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六、履约保证金</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6.1 </w:t>
      </w:r>
      <w:r>
        <w:rPr>
          <w:rFonts w:ascii="SimSun" w:hAnsi="SimSun" w:eastAsia="SimSun" w:cs="SimSun"/>
          <w:color w:val="000000"/>
          <w:sz w:val="24"/>
        </w:rPr>
        <w:t xml:space="preserve">本合同不收取履约保证金。</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七、合同转包或分包</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7.1 </w:t>
      </w:r>
      <w:r>
        <w:rPr>
          <w:rFonts w:ascii="SimSun" w:hAnsi="SimSun" w:eastAsia="SimSun" w:cs="SimSun"/>
          <w:color w:val="000000"/>
          <w:sz w:val="24"/>
        </w:rPr>
        <w:t xml:space="preserve">本合同范围内产品或服务，应由乙方直接供应，不得转让他人供应或部分分包给他人供应。</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7.2 </w:t>
      </w:r>
      <w:r>
        <w:rPr>
          <w:rFonts w:ascii="SimSun" w:hAnsi="SimSun" w:eastAsia="SimSun" w:cs="SimSun"/>
          <w:color w:val="000000"/>
          <w:sz w:val="24"/>
        </w:rPr>
        <w:t xml:space="preserve">如有转让和未经甲方同意的分包行为，甲方有权终止合同。</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八、服务时间</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8.1 </w:t>
      </w:r>
      <w:r>
        <w:rPr>
          <w:rFonts w:ascii="SimSun" w:hAnsi="SimSun" w:eastAsia="SimSun" w:cs="SimSun"/>
          <w:color w:val="000000"/>
          <w:sz w:val="24"/>
        </w:rPr>
        <w:t xml:space="preserve">服务时间：</w:t>
      </w:r>
      <w:r>
        <w:rPr>
          <w:rFonts w:ascii="SimHei" w:hAnsi="SimHei" w:eastAsia="SimHei" w:cs="SimHei"/>
          <w:color w:val="000000"/>
          <w:sz w:val="24"/>
        </w:rPr>
        <w:t xml:space="preserve">。</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九、交付期、交付方式及交付地点</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9.1 </w:t>
      </w:r>
      <w:r>
        <w:rPr>
          <w:rFonts w:ascii="SimSun" w:hAnsi="SimSun" w:eastAsia="SimSun" w:cs="SimSun"/>
          <w:color w:val="000000"/>
          <w:sz w:val="24"/>
        </w:rPr>
        <w:t xml:space="preserve">交 付 期：</w:t>
      </w:r>
      <w:r>
        <w:rPr>
          <w:rFonts w:ascii="Times New Roman" w:hAnsi="Times New Roman" w:eastAsia="Times New Roman" w:cs="Times New Roman"/>
          <w:color w:val="000000"/>
          <w:sz w:val="24"/>
        </w:rPr>
        <w:t xml:space="preserve">_________</w:t>
      </w:r>
      <w:r>
        <w:rPr>
          <w:rFonts w:ascii="SimSun" w:hAnsi="SimSun" w:eastAsia="SimSun" w:cs="SimSun"/>
          <w:color w:val="000000"/>
          <w:sz w:val="24"/>
        </w:rPr>
        <w:t xml:space="preserve">。</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9.2 </w:t>
      </w:r>
      <w:r>
        <w:rPr>
          <w:rFonts w:ascii="SimSun" w:hAnsi="SimSun" w:eastAsia="SimSun" w:cs="SimSun"/>
          <w:color w:val="000000"/>
          <w:sz w:val="24"/>
        </w:rPr>
        <w:t xml:space="preserve">交付方式：</w:t>
      </w:r>
      <w:r>
        <w:rPr>
          <w:rFonts w:ascii="Times New Roman" w:hAnsi="Times New Roman" w:eastAsia="Times New Roman" w:cs="Times New Roman"/>
          <w:color w:val="000000"/>
          <w:sz w:val="24"/>
        </w:rPr>
        <w:t xml:space="preserve">_________</w:t>
      </w:r>
      <w:r>
        <w:rPr>
          <w:rFonts w:ascii="SimSun" w:hAnsi="SimSun" w:eastAsia="SimSun" w:cs="SimSun"/>
          <w:color w:val="000000"/>
          <w:sz w:val="24"/>
        </w:rPr>
        <w:t xml:space="preserve">。</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9.3 </w:t>
      </w:r>
      <w:r>
        <w:rPr>
          <w:rFonts w:ascii="SimSun" w:hAnsi="SimSun" w:eastAsia="SimSun" w:cs="SimSun"/>
          <w:color w:val="000000"/>
          <w:sz w:val="24"/>
        </w:rPr>
        <w:t xml:space="preserve">交付地点：</w:t>
      </w:r>
      <w:r>
        <w:rPr>
          <w:rFonts w:ascii="Times New Roman" w:hAnsi="Times New Roman" w:eastAsia="Times New Roman" w:cs="Times New Roman"/>
          <w:color w:val="000000"/>
          <w:sz w:val="24"/>
        </w:rPr>
        <w:t xml:space="preserve">_________</w:t>
      </w:r>
      <w:r>
        <w:rPr>
          <w:rFonts w:ascii="SimSun" w:hAnsi="SimSun" w:eastAsia="SimSun" w:cs="SimSun"/>
          <w:color w:val="000000"/>
          <w:sz w:val="24"/>
        </w:rPr>
        <w:t xml:space="preserve">。</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十、合同款支付</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10.1 </w:t>
      </w:r>
      <w:r>
        <w:rPr>
          <w:rFonts w:ascii="SimSun" w:hAnsi="SimSun" w:eastAsia="SimSun" w:cs="SimSun"/>
          <w:color w:val="000000"/>
          <w:sz w:val="24"/>
        </w:rPr>
        <w:t xml:space="preserve">付款方式：</w:t>
      </w:r>
      <w:r>
        <w:rPr>
          <w:rFonts w:ascii="Times New Roman" w:hAnsi="Times New Roman" w:eastAsia="Times New Roman" w:cs="Times New Roman"/>
          <w:color w:val="000000"/>
          <w:sz w:val="24"/>
        </w:rPr>
        <w:t xml:space="preserve">_________</w:t>
      </w:r>
      <w:r>
        <w:rPr>
          <w:rFonts w:ascii="SimSun" w:hAnsi="SimSun" w:eastAsia="SimSun" w:cs="SimSun"/>
          <w:color w:val="000000"/>
          <w:sz w:val="24"/>
        </w:rPr>
        <w:t xml:space="preserve">。</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10.2 </w:t>
      </w:r>
      <w:r>
        <w:rPr>
          <w:rFonts w:ascii="SimSun" w:hAnsi="SimSun" w:eastAsia="SimSun" w:cs="SimSun"/>
          <w:color w:val="000000"/>
          <w:sz w:val="24"/>
        </w:rPr>
        <w:t xml:space="preserve">当采购数量与实际使用数量不一致时，乙方应根据实际使用量提供产品和服务，合同的最终结算金额按实际使用量乘以中标单价进行计算。</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十一、税费</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11.1 </w:t>
      </w:r>
      <w:r>
        <w:rPr>
          <w:rFonts w:ascii="SimSun" w:hAnsi="SimSun" w:eastAsia="SimSun" w:cs="SimSun"/>
          <w:color w:val="000000"/>
          <w:sz w:val="24"/>
        </w:rPr>
        <w:t xml:space="preserve">本合同执行中相关的一切税费均由乙方负担。</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十二、质量保证及售后服务</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12.1 </w:t>
      </w:r>
      <w:r>
        <w:rPr>
          <w:rFonts w:ascii="SimSun" w:hAnsi="SimSun" w:eastAsia="SimSun" w:cs="SimSun"/>
          <w:color w:val="000000"/>
          <w:sz w:val="24"/>
        </w:rPr>
        <w:t xml:space="preserve">乙方应按招标文件规定和投标文件承诺的性能、技术要求、质量标准向甲方提供产品或服务。</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12.2 </w:t>
      </w:r>
      <w:r>
        <w:rPr>
          <w:rFonts w:ascii="SimSun" w:hAnsi="SimSun" w:eastAsia="SimSun" w:cs="SimSun"/>
          <w:color w:val="000000"/>
          <w:sz w:val="24"/>
        </w:rPr>
        <w:t xml:space="preserve">乙方提供的产品或服务在服务期内因其本身出现质量问题，根据实际情况，经双方协商，可按以下办法处理：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）更换：由乙方承担所产生的全部费用。</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）合同终止处理：合同终止，乙方退还甲方支付的合同款，同时承担由此产生的全部费用，甲方不承担任何产生费用。</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12.3 </w:t>
      </w:r>
      <w:r>
        <w:rPr>
          <w:rFonts w:ascii="SimSun" w:hAnsi="SimSun" w:eastAsia="SimSun" w:cs="SimSun"/>
          <w:color w:val="000000"/>
          <w:sz w:val="24"/>
        </w:rPr>
        <w:t xml:space="preserve">如在使用过程中发生质量问题，乙方在接到甲方通知后在小时内到达甲方现场。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12.4 </w:t>
      </w:r>
      <w:r>
        <w:rPr>
          <w:rFonts w:ascii="SimSun" w:hAnsi="SimSun" w:eastAsia="SimSun" w:cs="SimSun"/>
          <w:color w:val="000000"/>
          <w:sz w:val="24"/>
        </w:rPr>
        <w:t xml:space="preserve">在服务期内，乙方应对产品或服务出现的质量及安全问题负责处理解决并承担一切费用。</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十三、项目验收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13.1 </w:t>
      </w:r>
      <w:r>
        <w:rPr>
          <w:rFonts w:ascii="SimSun" w:hAnsi="SimSun" w:eastAsia="SimSun" w:cs="SimSun"/>
          <w:color w:val="000000"/>
          <w:sz w:val="24"/>
        </w:rPr>
        <w:t xml:space="preserve">甲方依法组织履约验收工作。</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13.2 </w:t>
      </w:r>
      <w:r>
        <w:rPr>
          <w:rFonts w:ascii="SimSun" w:hAnsi="SimSun" w:eastAsia="SimSun" w:cs="SimSun"/>
          <w:color w:val="000000"/>
          <w:sz w:val="24"/>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13.3 </w:t>
      </w:r>
      <w:r>
        <w:rPr>
          <w:rFonts w:ascii="SimSun" w:hAnsi="SimSun" w:eastAsia="SimSun" w:cs="SimSun"/>
          <w:color w:val="000000"/>
          <w:sz w:val="24"/>
        </w:rPr>
        <w:t xml:space="preserve">对于实际使用人和甲方分离的项目，甲方邀请实际使用人参与验收。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13.4 </w:t>
      </w:r>
      <w:r>
        <w:rPr>
          <w:rFonts w:ascii="SimSun" w:hAnsi="SimSun" w:eastAsia="SimSun" w:cs="SimSun"/>
          <w:color w:val="000000"/>
          <w:sz w:val="24"/>
        </w:rPr>
        <w:t xml:space="preserve">如有必要，甲方邀请参加本项目的其他供应商或第三方专业机构及专家参与验收，相关意见将作为验收书的参考资料。</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13.5 </w:t>
      </w:r>
      <w:r>
        <w:rPr>
          <w:rFonts w:ascii="SimSun" w:hAnsi="SimSun" w:eastAsia="SimSun" w:cs="SimSun"/>
          <w:color w:val="000000"/>
          <w:sz w:val="24"/>
        </w:rPr>
        <w:t xml:space="preserve">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13.6 </w:t>
      </w:r>
      <w:r>
        <w:rPr>
          <w:rFonts w:ascii="SimSun" w:hAnsi="SimSun" w:eastAsia="SimSun" w:cs="SimSun"/>
          <w:color w:val="000000"/>
          <w:sz w:val="24"/>
        </w:rPr>
        <w:t xml:space="preserve">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十四、合同内容的交付</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14.1 </w:t>
      </w:r>
      <w:r>
        <w:rPr>
          <w:rFonts w:ascii="SimSun" w:hAnsi="SimSun" w:eastAsia="SimSun" w:cs="SimSun"/>
          <w:color w:val="000000"/>
          <w:sz w:val="24"/>
        </w:rPr>
        <w:t xml:space="preserve">乙方应保证合同标的安全运达甲方指定地点。合同标的涉及包装的应符合《商品包装政府采购需求标准（试行）》、《快递包装政府采购需求标准（试行）》的规定。</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14.2 </w:t>
      </w:r>
      <w:r>
        <w:rPr>
          <w:rFonts w:ascii="SimSun" w:hAnsi="SimSun" w:eastAsia="SimSun" w:cs="SimSun"/>
          <w:color w:val="000000"/>
          <w:sz w:val="24"/>
        </w:rPr>
        <w:t xml:space="preserve">使用说明书、质量检验证明书等一并提交甲方。</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14.3 </w:t>
      </w:r>
      <w:r>
        <w:rPr>
          <w:rFonts w:ascii="SimSun" w:hAnsi="SimSun" w:eastAsia="SimSun" w:cs="SimSun"/>
          <w:color w:val="000000"/>
          <w:sz w:val="24"/>
        </w:rPr>
        <w:t xml:space="preserve">乙方在合同标的交付甲方</w:t>
      </w:r>
      <w:r>
        <w:rPr>
          <w:rFonts w:ascii="Times New Roman" w:hAnsi="Times New Roman" w:eastAsia="Times New Roman" w:cs="Times New Roman"/>
          <w:color w:val="000000"/>
          <w:sz w:val="24"/>
        </w:rPr>
        <w:t xml:space="preserve">48</w:t>
      </w:r>
      <w:r>
        <w:rPr>
          <w:rFonts w:ascii="SimSun" w:hAnsi="SimSun" w:eastAsia="SimSun" w:cs="SimSun"/>
          <w:color w:val="000000"/>
          <w:sz w:val="24"/>
        </w:rPr>
        <w:t xml:space="preserve">小时前通知甲方准备接收。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14.4 </w:t>
      </w:r>
      <w:r>
        <w:rPr>
          <w:rFonts w:ascii="SimSun" w:hAnsi="SimSun" w:eastAsia="SimSun" w:cs="SimSun"/>
          <w:color w:val="000000"/>
          <w:sz w:val="24"/>
        </w:rPr>
        <w:t xml:space="preserve">合同标的在交付甲方前发生的风险均由乙方负责。</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14.5 </w:t>
      </w:r>
      <w:r>
        <w:rPr>
          <w:rFonts w:ascii="SimSun" w:hAnsi="SimSun" w:eastAsia="SimSun" w:cs="SimSun"/>
          <w:color w:val="000000"/>
          <w:sz w:val="24"/>
        </w:rPr>
        <w:t xml:space="preserve">合同标的在规定的交付期限内由乙方送达甲方指定的地点视为交付，乙方同时需通知甲方已送达。</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十五、违约责任</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15.1 </w:t>
      </w:r>
      <w:r>
        <w:rPr>
          <w:rFonts w:ascii="SimSun" w:hAnsi="SimSun" w:eastAsia="SimSun" w:cs="SimSun"/>
          <w:color w:val="000000"/>
          <w:sz w:val="24"/>
        </w:rPr>
        <w:t xml:space="preserve">甲方无正当理由拒收的，甲方向乙方偿付拒收标的总值的违约金。</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15.2 </w:t>
      </w:r>
      <w:r>
        <w:rPr>
          <w:rFonts w:ascii="SimSun" w:hAnsi="SimSun" w:eastAsia="SimSun" w:cs="SimSun"/>
          <w:color w:val="000000"/>
          <w:sz w:val="24"/>
        </w:rPr>
        <w:t xml:space="preserve">甲方无故逾期验收和办理合同款支付手续的，甲方应按逾期付款总额每日</w:t>
      </w:r>
      <w:r>
        <w:rPr>
          <w:rFonts w:ascii="SimSun" w:hAnsi="SimSun" w:eastAsia="SimSun" w:cs="SimSun"/>
          <w:color w:val="0000ff"/>
          <w:sz w:val="24"/>
          <w:u w:val="single"/>
        </w:rPr>
        <w:t xml:space="preserve">万分之五</w:t>
      </w:r>
      <w:r>
        <w:rPr>
          <w:rFonts w:ascii="SimSun" w:hAnsi="SimSun" w:eastAsia="SimSun" w:cs="SimSun"/>
          <w:color w:val="000000"/>
          <w:sz w:val="24"/>
        </w:rPr>
        <w:t xml:space="preserve">向乙方支付违约金，最高限额为本合同总额的。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15.3 </w:t>
      </w:r>
      <w:r>
        <w:rPr>
          <w:rFonts w:ascii="SimSun" w:hAnsi="SimSun" w:eastAsia="SimSun" w:cs="SimSun"/>
          <w:color w:val="000000"/>
          <w:sz w:val="24"/>
        </w:rPr>
        <w:t xml:space="preserve">乙方逾期交付合同标的的，乙方应按逾期交付总额每日万分之五向甲方支付违约金，由甲方从待付合同款中扣除。逾期超过约定日期</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个工作日不能交付的，甲方可解除本合同。乙方因逾期交付或因其他违约行为导致甲方解除合同的，乙方应向甲方支付合同总值的违约金，如造成甲方损失超过违约金的，超出部分由乙方继续承担赔偿责任。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15.4 </w:t>
      </w:r>
      <w:r>
        <w:rPr>
          <w:rFonts w:ascii="SimSun" w:hAnsi="SimSun" w:eastAsia="SimSun" w:cs="SimSun"/>
          <w:color w:val="000000"/>
          <w:sz w:val="24"/>
        </w:rPr>
        <w:t xml:space="preserve">乙方交付的产品或服务不符合项目需求要求、乙方投标文件承诺及国家有关质量标准的，甲方有权拒收，乙方愿意更换但逾期交付的，按乙方逾期交付处理。乙方拒绝更换的，甲方可单方面解除合同，并由乙方赔偿由此造成的甲方全部损失。</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十六、不可抗力事件处理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16.1 </w:t>
      </w:r>
      <w:r>
        <w:rPr>
          <w:rFonts w:ascii="SimSun" w:hAnsi="SimSun" w:eastAsia="SimSun" w:cs="SimSun"/>
          <w:color w:val="000000"/>
          <w:sz w:val="24"/>
        </w:rPr>
        <w:t xml:space="preserve">在合同有效期内，任何一方因不可抗力事件导致不能履行合同，则合同履行期可延长，其延长期与不可抗力影响期相同。</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16.2 </w:t>
      </w:r>
      <w:r>
        <w:rPr>
          <w:rFonts w:ascii="SimSun" w:hAnsi="SimSun" w:eastAsia="SimSun" w:cs="SimSun"/>
          <w:color w:val="000000"/>
          <w:sz w:val="24"/>
        </w:rPr>
        <w:t xml:space="preserve">不可抗力事件发生后，应立即通知对方，并寄送有关权威机构出具的证明。</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16.3 </w:t>
      </w:r>
      <w:r>
        <w:rPr>
          <w:rFonts w:ascii="SimSun" w:hAnsi="SimSun" w:eastAsia="SimSun" w:cs="SimSun"/>
          <w:color w:val="000000"/>
          <w:sz w:val="24"/>
        </w:rPr>
        <w:t xml:space="preserve">不可抗力事件延续</w:t>
      </w:r>
      <w:r>
        <w:rPr>
          <w:rFonts w:ascii="Times New Roman" w:hAnsi="Times New Roman" w:eastAsia="Times New Roman" w:cs="Times New Roman"/>
          <w:color w:val="000000"/>
          <w:sz w:val="24"/>
        </w:rPr>
        <w:t xml:space="preserve">120</w:t>
      </w:r>
      <w:r>
        <w:rPr>
          <w:rFonts w:ascii="SimSun" w:hAnsi="SimSun" w:eastAsia="SimSun" w:cs="SimSun"/>
          <w:color w:val="000000"/>
          <w:sz w:val="24"/>
        </w:rPr>
        <w:t xml:space="preserve">天以上，双方应通过友好协商，确定是否继续履行合同。</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十七、解决争议的方法</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17.1 </w:t>
      </w:r>
      <w:r>
        <w:rPr>
          <w:rFonts w:ascii="SimSun" w:hAnsi="SimSun" w:eastAsia="SimSun" w:cs="SimSun"/>
          <w:color w:val="000000"/>
          <w:sz w:val="24"/>
        </w:rPr>
        <w:t xml:space="preserve">甲乙双方因合同签订、履行而发生的一切争议，应通过友好协商解决。如协商不成，按下列第</w:t>
      </w: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1</w:t>
      </w:r>
      <w:r>
        <w:rPr>
          <w:rFonts w:ascii="SimSun" w:hAnsi="SimSun" w:eastAsia="SimSun" w:cs="SimSun"/>
          <w:color w:val="000000"/>
          <w:sz w:val="24"/>
          <w:u w:val="single"/>
        </w:rPr>
        <w:t xml:space="preserve">）</w:t>
      </w:r>
      <w:r>
        <w:rPr>
          <w:rFonts w:ascii="SimSun" w:hAnsi="SimSun" w:eastAsia="SimSun" w:cs="SimSun"/>
          <w:color w:val="000000"/>
          <w:sz w:val="24"/>
        </w:rPr>
        <w:t xml:space="preserve">种方式解决：</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）向连云港仲裁委员会申请仲裁。</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）向合同签订地法院起诉，合同签订地在此约定为连云港市。</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十八、合同生效及其他</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18.1 </w:t>
      </w:r>
      <w:r>
        <w:rPr>
          <w:rFonts w:ascii="SimSun" w:hAnsi="SimSun" w:eastAsia="SimSun" w:cs="SimSun"/>
          <w:color w:val="000000"/>
          <w:sz w:val="24"/>
        </w:rPr>
        <w:t xml:space="preserve">合同经双方法定代表人或授权代表签字并加盖单位公章后生效。</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18.2 </w:t>
      </w:r>
      <w:r>
        <w:rPr>
          <w:rFonts w:ascii="SimSun" w:hAnsi="SimSun" w:eastAsia="SimSun" w:cs="SimSun"/>
          <w:color w:val="000000"/>
          <w:sz w:val="24"/>
        </w:rPr>
        <w:t xml:space="preserve">本合同未尽事宜，遵照《中华人民共和国民法典》、《中华人民共和国政府采购法》有关条文执行。</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18.3 </w:t>
      </w:r>
      <w:r>
        <w:rPr>
          <w:rFonts w:ascii="SimSun" w:hAnsi="SimSun" w:eastAsia="SimSun" w:cs="SimSun"/>
          <w:color w:val="000000"/>
          <w:sz w:val="24"/>
        </w:rPr>
        <w:t xml:space="preserve">本合同正本一式两份，具有同等法律效力，甲方、乙方各执一份。</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甲方：乙方：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地址：地址：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法定代表人或授权代表：法定代表人或授权代表：</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联系电话：联系电话：</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pStyle w:val="938"/>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签订日期：年月日</w:t>
      </w:r>
      <w:r/>
    </w:p>
    <w:p>
      <w:pPr>
        <w:pStyle w:val="938"/>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pStyle w:val="938"/>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pStyle w:val="938"/>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pStyle w:val="938"/>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pStyle w:val="938"/>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pStyle w:val="938"/>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第四章 投标文件相关格式</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投标文件</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S Mincho" w:hAnsi="MS Mincho" w:eastAsia="MS Mincho" w:cs="MS Mincho"/>
          <w:color w:val="000000"/>
          <w:sz w:val="21"/>
        </w:rPr>
        <w:t xml:space="preserve"> </w:t>
      </w:r>
      <w:r/>
    </w:p>
    <w:p>
      <w:pPr>
        <w:ind w:left="1440" w:right="1440" w:firstLine="0"/>
        <w:jc w:val="both"/>
        <w:spacing w:before="210" w:after="120"/>
        <w:pBdr>
          <w:top w:val="none" w:color="000000" w:sz="4" w:space="0"/>
          <w:left w:val="none" w:color="000000" w:sz="4" w:space="0"/>
          <w:bottom w:val="none" w:color="000000" w:sz="4" w:space="0"/>
          <w:right w:val="none" w:color="000000" w:sz="4" w:space="0"/>
        </w:pBdr>
      </w:pPr>
      <w:r>
        <w:rPr>
          <w:rFonts w:ascii="MS Mincho" w:hAnsi="MS Mincho" w:eastAsia="MS Mincho" w:cs="MS Mincho"/>
          <w:color w:val="000000"/>
          <w:sz w:val="21"/>
        </w:rPr>
        <w:t xml:space="preserve"> </w:t>
      </w:r>
      <w:r/>
    </w:p>
    <w:p>
      <w:pPr>
        <w:ind w:left="1440" w:right="1440" w:firstLine="0"/>
        <w:jc w:val="both"/>
        <w:spacing w:before="210" w:after="120"/>
        <w:pBdr>
          <w:top w:val="none" w:color="000000" w:sz="4" w:space="0"/>
          <w:left w:val="none" w:color="000000" w:sz="4" w:space="0"/>
          <w:bottom w:val="none" w:color="000000" w:sz="4" w:space="0"/>
          <w:right w:val="none" w:color="000000" w:sz="4" w:space="0"/>
        </w:pBdr>
      </w:pPr>
      <w:r>
        <w:rPr>
          <w:rFonts w:ascii="MS Mincho" w:hAnsi="MS Mincho" w:eastAsia="MS Mincho" w:cs="MS Mincho"/>
          <w:color w:val="000000"/>
          <w:sz w:val="21"/>
        </w:rPr>
        <w:t xml:space="preserve"> </w:t>
      </w:r>
      <w:r/>
    </w:p>
    <w:p>
      <w:pPr>
        <w:ind w:left="1440" w:right="1440" w:firstLine="0"/>
        <w:jc w:val="both"/>
        <w:spacing w:before="210" w:after="120"/>
        <w:pBdr>
          <w:top w:val="none" w:color="000000" w:sz="4" w:space="0"/>
          <w:left w:val="none" w:color="000000" w:sz="4" w:space="0"/>
          <w:bottom w:val="none" w:color="000000" w:sz="4" w:space="0"/>
          <w:right w:val="none" w:color="000000" w:sz="4" w:space="0"/>
        </w:pBdr>
      </w:pPr>
      <w:r>
        <w:rPr>
          <w:rFonts w:ascii="MS Mincho" w:hAnsi="MS Mincho" w:eastAsia="MS Mincho" w:cs="MS Mincho"/>
          <w:color w:val="000000"/>
          <w:sz w:val="21"/>
        </w:rPr>
        <w:t xml:space="preserve"> </w:t>
      </w:r>
      <w:r/>
    </w:p>
    <w:p>
      <w:pPr>
        <w:ind w:left="1440" w:right="1440" w:firstLine="0"/>
        <w:jc w:val="both"/>
        <w:spacing w:before="210" w:after="120"/>
        <w:pBdr>
          <w:top w:val="none" w:color="000000" w:sz="4" w:space="0"/>
          <w:left w:val="none" w:color="000000" w:sz="4" w:space="0"/>
          <w:bottom w:val="none" w:color="000000" w:sz="4" w:space="0"/>
          <w:right w:val="none" w:color="000000" w:sz="4" w:space="0"/>
        </w:pBdr>
      </w:pPr>
      <w:r>
        <w:rPr>
          <w:rFonts w:ascii="MS Mincho" w:hAnsi="MS Mincho" w:eastAsia="MS Mincho" w:cs="MS Mincho"/>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S Mincho" w:hAnsi="MS Mincho" w:eastAsia="MS Mincho" w:cs="MS Mincho"/>
          <w:color w:val="000000"/>
          <w:sz w:val="21"/>
        </w:rPr>
        <w:t xml:space="preserve"> </w:t>
      </w:r>
      <w:r/>
    </w:p>
    <w:p>
      <w:pPr>
        <w:ind w:left="0" w:right="0" w:firstLine="10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标 段 名 称：</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标 段 编 号： </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投标人名称：</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投标人地址： </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法定代表人：</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委托代理人（委托代理时填写）：</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日期：</w:t>
      </w:r>
      <w:r/>
    </w:p>
    <w:p>
      <w:pPr>
        <w:ind w:left="0" w:right="0" w:firstLine="301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格式1、响应函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响应函</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 </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w:t>
      </w:r>
      <w:r>
        <w:rPr>
          <w:rFonts w:ascii="SimSun" w:hAnsi="SimSun" w:eastAsia="SimSun" w:cs="SimSun"/>
          <w:color w:val="000000"/>
          <w:sz w:val="21"/>
          <w:u w:val="single"/>
        </w:rPr>
        <w:t xml:space="preserve">     （项目名称）</w:t>
      </w:r>
      <w:r>
        <w:rPr>
          <w:rFonts w:ascii="SimSun" w:hAnsi="SimSun" w:eastAsia="SimSun" w:cs="SimSun"/>
          <w:color w:val="000000"/>
          <w:sz w:val="21"/>
        </w:rPr>
        <w:t xml:space="preserve">（标段编号：</w:t>
      </w:r>
      <w:r>
        <w:rPr>
          <w:rFonts w:ascii="SimSun" w:hAnsi="SimSun" w:eastAsia="SimSun" w:cs="SimSun"/>
          <w:color w:val="000000"/>
          <w:sz w:val="21"/>
          <w:u w:val="single"/>
        </w:rPr>
        <w:t xml:space="preserve">       </w:t>
      </w:r>
      <w:r>
        <w:rPr>
          <w:rFonts w:ascii="SimSun" w:hAnsi="SimSun" w:eastAsia="SimSun" w:cs="SimSun"/>
          <w:color w:val="000000"/>
          <w:sz w:val="21"/>
        </w:rPr>
        <w:t xml:space="preserve">）采购文件，正式授权下述签字人</w:t>
      </w:r>
      <w:r>
        <w:rPr>
          <w:rFonts w:ascii="SimSun" w:hAnsi="SimSun" w:eastAsia="SimSun" w:cs="SimSun"/>
          <w:color w:val="000000"/>
          <w:sz w:val="21"/>
          <w:u w:val="single"/>
        </w:rPr>
        <w:t xml:space="preserve">        </w:t>
      </w:r>
      <w:r>
        <w:rPr>
          <w:rFonts w:ascii="SimSun" w:hAnsi="SimSun" w:eastAsia="SimSun" w:cs="SimSun"/>
          <w:color w:val="000000"/>
          <w:sz w:val="21"/>
        </w:rPr>
        <w:t xml:space="preserve">全权代表参加贵方组织的采购活动，按照采购文件要求提交响应文件。</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据此函，签字人兹宣布同意如下：</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1.按采购文件项目需求提交响应报价，报价、交货期等详见开标一览表。</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2.我方同意在本标段采购文件中规定的响应文件递交截止之日起60天内遵守本响应文件中的承诺且在此期限期满之前均具有约束力。</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3.我方承诺已经具备《中华人民共和国政府采购法》中规定的参加政府采购活动的供应商应当具备的条件：</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(3)具有履行合同所必需的设备和专业技术能力；</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(4)有依法缴纳税收和社会保障资金的良好记录；</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(5)参加此项采购活动前三年内，在经营活动中没有重大违法记录。</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4.我方根据采购文件的规定，承担完成合同的责任和义务。</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5.我方已详细审核采购文件，我方知道必须放弃提出含糊不清或误解问题的权利。</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6.如果在响应文件有效期内撤回或者有其他违约行为，我方的保证金可被贵方全部或部分没收。</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7.同意应贵方要求提供与本次采购活动有关的任何数据或资料。</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8.我方完全理解，最低报价不是中标（成交）的唯一条件。</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9.若贵方需要，我方愿意提供我方作出的一切承诺的证明材料。</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(1)提供虚假材料谋取中标、成交的；</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(2)采取不正当手段诋毁、排挤其他供应商的；</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(3)与采购人、其他供应商或者采购代理机构恶意串通的；</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(4)向采购人、采购代理机构行贿或者提供其他不正当利益的；</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(5)在招标采购过程中与采购人进行协商谈判的；</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(6)拒绝有关部门监督检查或提供虚假情况的。</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法定代表人或其委托代理人签字（或盖章）： </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供应商公章： </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注：未按照本响应函的格式要求填写的，将造成非实质响应，从而导致该供应商响应无效。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格式2、开标一览表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开标一览表</w:t>
      </w:r>
      <w:r/>
    </w:p>
    <w:tbl>
      <w:tblPr>
        <w:tblStyle w:val="72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18"/>
        <w:gridCol w:w="6982"/>
      </w:tblGrid>
      <w:tr>
        <w:trPr>
          <w:trHeight w:val="789"/>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项目名称及编号</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82"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c>
      </w:tr>
      <w:tr>
        <w:trPr>
          <w:trHeight w:val="88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82"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人民币（大写）：</w:t>
            </w:r>
            <w:r>
              <w:rPr>
                <w:rFonts w:ascii="SimSun" w:hAnsi="SimSun" w:eastAsia="SimSun" w:cs="SimSun"/>
                <w:color w:val="000000"/>
                <w:sz w:val="21"/>
                <w:u w:val="single"/>
              </w:rPr>
              <w:t xml:space="preserve">                     </w:t>
            </w:r>
            <w:r>
              <w:rPr>
                <w:rFonts w:ascii="SimSun" w:hAnsi="SimSun" w:eastAsia="SimSun" w:cs="SimSun"/>
                <w:color w:val="000000"/>
                <w:sz w:val="21"/>
              </w:rPr>
              <w:t xml:space="preserve">元（￥：</w:t>
            </w:r>
            <w:r>
              <w:rPr>
                <w:rFonts w:ascii="SimSun" w:hAnsi="SimSun" w:eastAsia="SimSun" w:cs="SimSun"/>
                <w:color w:val="000000"/>
                <w:sz w:val="21"/>
                <w:u w:val="single"/>
              </w:rPr>
              <w:t xml:space="preserve">             </w:t>
            </w:r>
            <w:r>
              <w:rPr>
                <w:rFonts w:ascii="SimSun" w:hAnsi="SimSun" w:eastAsia="SimSun" w:cs="SimSun"/>
                <w:color w:val="000000"/>
                <w:sz w:val="21"/>
              </w:rPr>
              <w:t xml:space="preserve">元）</w:t>
            </w:r>
            <w:r/>
          </w:p>
        </w:tc>
      </w:tr>
      <w:tr>
        <w:trPr>
          <w:trHeight w:val="824"/>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82"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24"/>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交货期</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82"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rPr>
                <w:rFonts w:ascii="SimSun" w:hAnsi="SimSun" w:eastAsia="SimSun" w:cs="SimSun"/>
                <w:color w:val="000000"/>
                <w:sz w:val="21"/>
              </w:rPr>
              <w:t xml:space="preserve">月内完成（投标人如未能按期完成将承担违约责任）</w:t>
            </w:r>
            <w:r/>
          </w:p>
        </w:tc>
      </w:tr>
      <w:tr>
        <w:trPr>
          <w:trHeight w:val="824"/>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质保期</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82"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24"/>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质量标准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82"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报价须包含但不限于全部设备、材料备品备件、包装费、运杂费（运抵现场）、卸货费、现场保管费、运输保险费、成品保护费、总包配合费、安装费、调试费、售后服务、有关部门验收费用、各项有关规费和政策性规定费用及投标人确认为需要的其它费用等，直至交付至采购人使用时所需要的各种费用（包含所有隐含的内容）。投标人应采用分项报价最终汇总的方式进行，标明拟提供货物和服务的单价和总价，详细分析各项费用组成（表格自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2、本报价表中的合计总价必须与响应函中的投标报价必须一致，否则视为无效标。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投标人（盖章）：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法定代表人或委托代理人（签字或盖章）：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 月 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格式3、报价明细表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报价明细表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单位：元</w:t>
      </w:r>
      <w:r/>
    </w:p>
    <w:tbl>
      <w:tblPr>
        <w:tblStyle w:val="72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2"/>
        <w:gridCol w:w="1097"/>
        <w:gridCol w:w="686"/>
        <w:gridCol w:w="1097"/>
        <w:gridCol w:w="822"/>
        <w:gridCol w:w="1097"/>
        <w:gridCol w:w="686"/>
        <w:gridCol w:w="1097"/>
        <w:gridCol w:w="1058"/>
        <w:gridCol w:w="1013"/>
      </w:tblGrid>
      <w:tr>
        <w:trPr>
          <w:trHeight w:val="66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货物名称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制造商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制造商企业类型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计量单位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w:t>
            </w:r>
            <w:r/>
          </w:p>
        </w:tc>
      </w:tr>
      <w:tr>
        <w:trPr>
          <w:trHeight w:val="5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8"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3"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8"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3"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8"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3"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8"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3"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8"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3"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投标人（盖章）：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法定代表人或委托代理人（签字或盖章）：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填报说明：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制造商企业类型”栏填写内容为“大型”“中型”“小型”“微型”“监狱企业”或“残疾人福利性单位”。如供应商提供的货物制造商全部为小型企业、微型企业的，提供《中小企业声明函》（见格式）；供应商为残疾人福利性单位且提供的货物全部由残疾人福利性单位制造的，提供《残疾人福利性单位声明函》（见格式）；供应商为监狱企业或提供的货物由监狱企业制造的，提供由省级以上监狱管理局、戒毒管理局(含新疆生产建设兵团)出具的属于监狱企业的证明文件。否则不享受扶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2、以上总价包含货物费用、运杂费、安装施工费、集成费、税金和其他费用。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3、请供应商正确填写本表，所填内容将作为评审的依据，其内容应与对应的证明资料相符。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4、本表中事项填写不得有缺失，请如实填写，行数或事项不够，可自行增加。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格式4、中小企业声明函</w:t>
      </w:r>
      <w:r/>
    </w:p>
    <w:p>
      <w:pPr>
        <w:ind w:left="0" w:right="142" w:firstLine="2951"/>
        <w:spacing w:before="146"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中小企业声明函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本公司（联合体）郑重声明，根据《政府采购促进中小企业发展管理办法》（财库﹝2020﹞46 号）的规定，本公司（联合体）参加</w:t>
      </w:r>
      <w:r>
        <w:rPr>
          <w:rFonts w:ascii="SimSun" w:hAnsi="SimSun" w:eastAsia="SimSun" w:cs="SimSun"/>
          <w:color w:val="000000"/>
          <w:sz w:val="21"/>
          <w:u w:val="single"/>
        </w:rPr>
        <w:t xml:space="preserve">            </w:t>
      </w:r>
      <w:r>
        <w:rPr>
          <w:rFonts w:ascii="SimSun" w:hAnsi="SimSun" w:eastAsia="SimSun" w:cs="SimSun"/>
          <w:color w:val="000000"/>
          <w:sz w:val="21"/>
        </w:rPr>
        <w:t xml:space="preserve">（单位名称）的</w:t>
      </w:r>
      <w:r>
        <w:rPr>
          <w:rFonts w:ascii="SimSun" w:hAnsi="SimSun" w:eastAsia="SimSun" w:cs="SimSun"/>
          <w:color w:val="000000"/>
          <w:sz w:val="21"/>
          <w:u w:val="single"/>
        </w:rPr>
        <w:t xml:space="preserve">            </w:t>
      </w:r>
      <w:r>
        <w:rPr>
          <w:rFonts w:ascii="SimSun" w:hAnsi="SimSun" w:eastAsia="SimSun" w:cs="SimSun"/>
          <w:color w:val="000000"/>
          <w:sz w:val="21"/>
        </w:rPr>
        <w:t xml:space="preserve">（项目名称）采购活动，提供的货物全部由符合政策要求的中小企业制造。相关企业（含联合体中的中小企业、签订分包意向协议的中小企业）的具体情况如下：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1.  </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 ，属于（</w:t>
      </w:r>
      <w:r>
        <w:rPr>
          <w:rFonts w:ascii="SimSun" w:hAnsi="SimSun" w:eastAsia="SimSun" w:cs="SimSun"/>
          <w:color w:val="000000"/>
          <w:sz w:val="21"/>
          <w:u w:val="single"/>
        </w:rPr>
        <w:t xml:space="preserve">采购文件中明确的所属行业）</w:t>
      </w:r>
      <w:r>
        <w:rPr>
          <w:rFonts w:ascii="SimSun" w:hAnsi="SimSun" w:eastAsia="SimSun" w:cs="SimSun"/>
          <w:color w:val="000000"/>
          <w:sz w:val="21"/>
        </w:rPr>
        <w:t xml:space="preserve">行业；制造商为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 </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人，营业收 入为</w:t>
      </w:r>
      <w:r>
        <w:rPr>
          <w:rFonts w:ascii="SimSun" w:hAnsi="SimSun" w:eastAsia="SimSun" w:cs="SimSun"/>
          <w:color w:val="000000"/>
          <w:sz w:val="21"/>
          <w:u w:val="single"/>
        </w:rPr>
        <w:t xml:space="preserve"> </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万元，资产总额为</w:t>
      </w:r>
      <w:r>
        <w:rPr>
          <w:rFonts w:ascii="SimSun" w:hAnsi="SimSun" w:eastAsia="SimSun" w:cs="SimSun"/>
          <w:color w:val="000000"/>
          <w:sz w:val="21"/>
          <w:u w:val="single"/>
        </w:rPr>
        <w:t xml:space="preserve"> </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万元¹，属于</w:t>
      </w:r>
      <w:r>
        <w:rPr>
          <w:rFonts w:ascii="SimSun" w:hAnsi="SimSun" w:eastAsia="SimSun" w:cs="SimSun"/>
          <w:color w:val="000000"/>
          <w:sz w:val="21"/>
          <w:u w:val="single"/>
        </w:rPr>
        <w:t xml:space="preserve">（中型企业、小型企业、微型企业）</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2.  </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 ，属于（</w:t>
      </w:r>
      <w:r>
        <w:rPr>
          <w:rFonts w:ascii="SimSun" w:hAnsi="SimSun" w:eastAsia="SimSun" w:cs="SimSun"/>
          <w:color w:val="000000"/>
          <w:sz w:val="21"/>
          <w:u w:val="single"/>
        </w:rPr>
        <w:t xml:space="preserve">采购文件中明确的所属行业）</w:t>
      </w:r>
      <w:r>
        <w:rPr>
          <w:rFonts w:ascii="SimSun" w:hAnsi="SimSun" w:eastAsia="SimSun" w:cs="SimSun"/>
          <w:color w:val="000000"/>
          <w:sz w:val="21"/>
        </w:rPr>
        <w:t xml:space="preserve">；制造商为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 </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人，营业收 入为</w:t>
      </w:r>
      <w:r>
        <w:rPr>
          <w:rFonts w:ascii="SimSun" w:hAnsi="SimSun" w:eastAsia="SimSun" w:cs="SimSun"/>
          <w:color w:val="000000"/>
          <w:sz w:val="21"/>
          <w:u w:val="single"/>
        </w:rPr>
        <w:t xml:space="preserve"> </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万元，资产总额为</w:t>
      </w:r>
      <w:r>
        <w:rPr>
          <w:rFonts w:ascii="SimSun" w:hAnsi="SimSun" w:eastAsia="SimSun" w:cs="SimSun"/>
          <w:color w:val="000000"/>
          <w:sz w:val="21"/>
          <w:u w:val="single"/>
        </w:rPr>
        <w:t xml:space="preserve"> </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万元¹，属于</w:t>
      </w:r>
      <w:r>
        <w:rPr>
          <w:rFonts w:ascii="SimSun" w:hAnsi="SimSun" w:eastAsia="SimSun" w:cs="SimSun"/>
          <w:color w:val="000000"/>
          <w:sz w:val="21"/>
          <w:u w:val="single"/>
        </w:rPr>
        <w:t xml:space="preserve">（中型企业、小型企业、微型企业）</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    </w:t>
      </w:r>
      <w:r/>
    </w:p>
    <w:p>
      <w:pPr>
        <w:ind w:left="0" w:right="0" w:firstLine="6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6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企业名称（盖章）：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从业人员、营业收入、资产总额填报上一年度数据，无上一年度数据的新成立企业可不填报。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48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格式5、残疾人福利性企业声明函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残疾人福利性单位声明函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S Mincho" w:hAnsi="MS Mincho" w:eastAsia="MS Mincho" w:cs="MS Mincho"/>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相关企业的具体情况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w:t>
      </w:r>
      <w:r>
        <w:rPr>
          <w:rFonts w:ascii="SimSun" w:hAnsi="SimSun" w:eastAsia="SimSun" w:cs="SimSun"/>
          <w:color w:val="000000"/>
          <w:sz w:val="24"/>
          <w:u w:val="single"/>
        </w:rPr>
        <w:t xml:space="preserve">（货物名称）</w:t>
      </w:r>
      <w:r>
        <w:rPr>
          <w:rFonts w:ascii="SimSun" w:hAnsi="SimSun" w:eastAsia="SimSun" w:cs="SimSun"/>
          <w:color w:val="000000"/>
          <w:sz w:val="24"/>
        </w:rPr>
        <w:t xml:space="preserve"> ，制造商为</w:t>
      </w:r>
      <w:r>
        <w:rPr>
          <w:rFonts w:ascii="SimSun" w:hAnsi="SimSun" w:eastAsia="SimSun" w:cs="SimSun"/>
          <w:color w:val="000000"/>
          <w:sz w:val="24"/>
          <w:u w:val="single"/>
        </w:rPr>
        <w:t xml:space="preserve">　（企业名称）　</w:t>
      </w:r>
      <w:r>
        <w:rPr>
          <w:rFonts w:ascii="SimSun" w:hAnsi="SimSun" w:eastAsia="SimSun" w:cs="SimSun"/>
          <w:color w:val="000000"/>
          <w:sz w:val="24"/>
        </w:rPr>
        <w:t xml:space="preserve">，属于残疾人福利性单位；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w:t>
      </w:r>
      <w:r>
        <w:rPr>
          <w:rFonts w:ascii="SimSun" w:hAnsi="SimSun" w:eastAsia="SimSun" w:cs="SimSun"/>
          <w:color w:val="000000"/>
          <w:sz w:val="24"/>
          <w:u w:val="single"/>
        </w:rPr>
        <w:t xml:space="preserve">（货物名称）</w:t>
      </w:r>
      <w:r>
        <w:rPr>
          <w:rFonts w:ascii="SimSun" w:hAnsi="SimSun" w:eastAsia="SimSun" w:cs="SimSun"/>
          <w:color w:val="000000"/>
          <w:sz w:val="24"/>
        </w:rPr>
        <w:t xml:space="preserve"> ，制造商为</w:t>
      </w:r>
      <w:r>
        <w:rPr>
          <w:rFonts w:ascii="SimSun" w:hAnsi="SimSun" w:eastAsia="SimSun" w:cs="SimSun"/>
          <w:color w:val="000000"/>
          <w:sz w:val="24"/>
          <w:u w:val="single"/>
        </w:rPr>
        <w:t xml:space="preserve">　（企业名称）　</w:t>
      </w:r>
      <w:r>
        <w:rPr>
          <w:rFonts w:ascii="SimSun" w:hAnsi="SimSun" w:eastAsia="SimSun" w:cs="SimSun"/>
          <w:color w:val="000000"/>
          <w:sz w:val="24"/>
        </w:rPr>
        <w:t xml:space="preserve">，属于残疾人福利性单位；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企业名称(盖章)：</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日期：年月日</w:t>
      </w:r>
      <w:r/>
    </w:p>
    <w:p>
      <w:pPr>
        <w:ind w:left="0" w:right="0" w:firstLine="44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p>
      <w:pPr>
        <w:ind w:left="0" w:right="0" w:firstLine="44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p>
      <w:pPr>
        <w:ind w:left="0" w:right="0" w:firstLine="44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p>
      <w:pPr>
        <w:ind w:left="0" w:right="0" w:firstLine="44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p>
      <w:pPr>
        <w:ind w:left="0" w:right="0" w:firstLine="44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p>
      <w:pPr>
        <w:ind w:left="0" w:right="0" w:firstLine="44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填报说明：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1、请供应商如实填写，所填内容将作为评审的依据。其内容填写须与报价明细表一致，如填写不完整或不一致，将不享受扶持政策。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2、中标供应商的《残疾人福利性单位声明函》随中标结果公开。</w:t>
      </w:r>
      <w:r/>
    </w:p>
    <w:p>
      <w:pPr>
        <w:ind w:left="0" w:right="48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48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48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48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48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S Mincho" w:hAnsi="MS Mincho" w:eastAsia="MS Mincho" w:cs="MS Mincho"/>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格式6、</w:t>
      </w:r>
      <w:r>
        <w:rPr>
          <w:rFonts w:ascii="SimSun" w:hAnsi="SimSun" w:eastAsia="SimSun" w:cs="SimSun"/>
          <w:color w:val="000000"/>
          <w:sz w:val="36"/>
        </w:rPr>
        <w:t xml:space="preserve">具备履行合同所必需的设备和专业技术能力的声明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（供应商名称）</w:t>
      </w:r>
      <w:r>
        <w:rPr>
          <w:rFonts w:ascii="SimSun" w:hAnsi="SimSun" w:eastAsia="SimSun" w:cs="SimSun"/>
          <w:color w:val="000000"/>
          <w:sz w:val="24"/>
        </w:rPr>
        <w:t xml:space="preserve">郑重声明：我单位具备履行本项采购合同所必需的设备和专业技术能力，为履行本项采购合同我单位具备如下主要设备和主要专业技术能力：</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2"/>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注：须附证明材料。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54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4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声明人（盖章）：</w:t>
      </w:r>
      <w:r/>
    </w:p>
    <w:p>
      <w:pPr>
        <w:ind w:left="0" w:right="0" w:firstLine="54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422"/>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422"/>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422"/>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422"/>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格式7、参加政府采购活动前 3 年内在经营活动中没有重大违法记录的书面声明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我公司郑重声明：参加本次政府采购活动前 </w:t>
      </w:r>
      <w:r>
        <w:rPr>
          <w:rFonts w:ascii="Times New Roman" w:hAnsi="Times New Roman" w:eastAsia="Times New Roman" w:cs="Times New Roman"/>
          <w:color w:val="000000"/>
          <w:sz w:val="24"/>
        </w:rPr>
        <w:t xml:space="preserve">3 </w:t>
      </w:r>
      <w:r>
        <w:rPr>
          <w:rFonts w:ascii="SimSun" w:hAnsi="SimSun" w:eastAsia="SimSun" w:cs="SimSun"/>
          <w:color w:val="000000"/>
          <w:sz w:val="24"/>
        </w:rPr>
        <w:t xml:space="preserve">年内，我公司在经营活动中没有因违法经营受到刑事处罚或者责令停产停业、吊销许可证或者执照、较大数额罚款等行政处罚。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法定代表人或委托代理人（签字或盖章）：</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格式8、法定代表人授权委托书</w:t>
      </w:r>
      <w:r/>
    </w:p>
    <w:p>
      <w:pPr>
        <w:ind w:left="0" w:right="0" w:firstLine="72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72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法定代表人授权委托书</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本授权书声明：注册于</w:t>
      </w:r>
      <w:r>
        <w:rPr>
          <w:rFonts w:ascii="SimSun" w:hAnsi="SimSun" w:eastAsia="SimSun" w:cs="SimSun"/>
          <w:color w:val="000000"/>
          <w:sz w:val="24"/>
          <w:u w:val="single"/>
        </w:rPr>
        <w:t xml:space="preserve">（委托单位全称）</w:t>
      </w:r>
      <w:r>
        <w:rPr>
          <w:rFonts w:ascii="SimSun" w:hAnsi="SimSun" w:eastAsia="SimSun" w:cs="SimSun"/>
          <w:color w:val="000000"/>
          <w:sz w:val="24"/>
        </w:rPr>
        <w:t xml:space="preserve">的法定代表人</w:t>
      </w:r>
      <w:r>
        <w:rPr>
          <w:rFonts w:ascii="SimSun" w:hAnsi="SimSun" w:eastAsia="SimSun" w:cs="SimSun"/>
          <w:color w:val="000000"/>
          <w:sz w:val="24"/>
          <w:u w:val="single"/>
        </w:rPr>
        <w:t xml:space="preserve">     </w:t>
      </w:r>
      <w:r>
        <w:rPr>
          <w:rFonts w:ascii="SimSun" w:hAnsi="SimSun" w:eastAsia="SimSun" w:cs="SimSun"/>
          <w:color w:val="000000"/>
          <w:sz w:val="24"/>
        </w:rPr>
        <w:t xml:space="preserve">代表本公司授权</w:t>
      </w:r>
      <w:r>
        <w:rPr>
          <w:rFonts w:ascii="SimSun" w:hAnsi="SimSun" w:eastAsia="SimSun" w:cs="SimSun"/>
          <w:color w:val="000000"/>
          <w:sz w:val="24"/>
          <w:u w:val="single"/>
        </w:rPr>
        <w:t xml:space="preserve">（姓名和职务）</w:t>
      </w:r>
      <w:r>
        <w:rPr>
          <w:rFonts w:ascii="SimSun" w:hAnsi="SimSun" w:eastAsia="SimSun" w:cs="SimSun"/>
          <w:color w:val="000000"/>
          <w:sz w:val="24"/>
        </w:rPr>
        <w:t xml:space="preserve">为本公司合法代理人，就贵方组织的有关</w:t>
      </w:r>
      <w:r>
        <w:rPr>
          <w:rFonts w:ascii="SimSun" w:hAnsi="SimSun" w:eastAsia="SimSun" w:cs="SimSun"/>
          <w:color w:val="000000"/>
          <w:sz w:val="24"/>
          <w:u w:val="single"/>
        </w:rPr>
        <w:t xml:space="preserve">         </w:t>
      </w:r>
      <w:r>
        <w:rPr>
          <w:rFonts w:ascii="SimSun" w:hAnsi="SimSun" w:eastAsia="SimSun" w:cs="SimSun"/>
          <w:color w:val="000000"/>
          <w:sz w:val="24"/>
        </w:rPr>
        <w:t xml:space="preserve">项目（标段编号：</w:t>
      </w:r>
      <w:r>
        <w:rPr>
          <w:rFonts w:ascii="SimSun" w:hAnsi="SimSun" w:eastAsia="SimSun" w:cs="SimSun"/>
          <w:color w:val="000000"/>
          <w:sz w:val="24"/>
          <w:u w:val="single"/>
        </w:rPr>
        <w:t xml:space="preserve">         </w:t>
      </w:r>
      <w:r>
        <w:rPr>
          <w:rFonts w:ascii="SimSun" w:hAnsi="SimSun" w:eastAsia="SimSun" w:cs="SimSun"/>
          <w:color w:val="000000"/>
          <w:sz w:val="24"/>
        </w:rPr>
        <w:t xml:space="preserve">）的招标采购及合同签订、执行、完成，以本单位名义处理一切与之有关的事务。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本授权书于年月日签字（或盖章）生效，特此声明。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委托单位（盖章）：法定代表人（签字或盖章）：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签发日期： 年 月日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附：法定代表人与委托代理人身份证明正反面电子件。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．委托书内容填写应当明确、文字工整清楚，涂改无效。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．委托书不得转借、转让、买卖。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．委托代理人根据授权范围，以委托单位的名义签订合同，并将此委托书提交给对方作为合同附件。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格式9、商务条款偏离表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商务条款偏离表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72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77"/>
        <w:gridCol w:w="2774"/>
        <w:gridCol w:w="2927"/>
        <w:gridCol w:w="2444"/>
      </w:tblGrid>
      <w:tr>
        <w:trPr>
          <w:trHeight w:val="49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采购文件的商务条款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响应文件的商务条款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偏离说明</w:t>
            </w:r>
            <w:r/>
          </w:p>
        </w:tc>
      </w:tr>
      <w:tr>
        <w:trPr>
          <w:trHeight w:val="4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top"/>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4" w:type="dxa"/>
            <w:vAlign w:val="top"/>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7" w:type="dxa"/>
            <w:vAlign w:val="top"/>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4" w:type="dxa"/>
            <w:vAlign w:val="top"/>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top"/>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4" w:type="dxa"/>
            <w:vAlign w:val="top"/>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7" w:type="dxa"/>
            <w:vAlign w:val="top"/>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4" w:type="dxa"/>
            <w:vAlign w:val="top"/>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top"/>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4" w:type="dxa"/>
            <w:vAlign w:val="top"/>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7" w:type="dxa"/>
            <w:vAlign w:val="top"/>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4" w:type="dxa"/>
            <w:vAlign w:val="top"/>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top"/>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4" w:type="dxa"/>
            <w:vAlign w:val="top"/>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7" w:type="dxa"/>
            <w:vAlign w:val="top"/>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4" w:type="dxa"/>
            <w:vAlign w:val="top"/>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top"/>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4" w:type="dxa"/>
            <w:vAlign w:val="top"/>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7" w:type="dxa"/>
            <w:vAlign w:val="top"/>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4" w:type="dxa"/>
            <w:vAlign w:val="top"/>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top"/>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4" w:type="dxa"/>
            <w:vAlign w:val="top"/>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7" w:type="dxa"/>
            <w:vAlign w:val="top"/>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4" w:type="dxa"/>
            <w:vAlign w:val="top"/>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top"/>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4" w:type="dxa"/>
            <w:vAlign w:val="top"/>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7" w:type="dxa"/>
            <w:vAlign w:val="top"/>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4" w:type="dxa"/>
            <w:vAlign w:val="top"/>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top"/>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4" w:type="dxa"/>
            <w:vAlign w:val="top"/>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7" w:type="dxa"/>
            <w:vAlign w:val="top"/>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4" w:type="dxa"/>
            <w:vAlign w:val="top"/>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top"/>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4" w:type="dxa"/>
            <w:vAlign w:val="top"/>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7" w:type="dxa"/>
            <w:vAlign w:val="top"/>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4" w:type="dxa"/>
            <w:vAlign w:val="top"/>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top"/>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4" w:type="dxa"/>
            <w:vAlign w:val="top"/>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7" w:type="dxa"/>
            <w:vAlign w:val="top"/>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4" w:type="dxa"/>
            <w:vAlign w:val="top"/>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注：①投标人必须对招标文件的主要商务条款实质性响应，否则视为明显不符合技术规范、技术标准的要求（如供货期、付款方式、质保期等）</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②“偏离说明”填写“正偏离”“负偏离”或“无偏离”。</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法定代表人或委托代理人（签字或盖章）：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42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格式10、售后服务承诺书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售后服务承诺书</w:t>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（请按“项目需求”要求的售后服务及内容自行填写）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法定代表人或委托代理人（签字或盖章）：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格式11、技术规格偏离表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技术规格偏离表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请按所响应产品的实际技术参数，逐条对应采购文件“项目需求”中要求的技术规范填写该表，该表不能作为所响应产品的技术文件，供应商应在响应文件中单独提供技术文件。</w:t>
      </w:r>
      <w:r/>
    </w:p>
    <w:tbl>
      <w:tblPr>
        <w:tblStyle w:val="72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8"/>
        <w:gridCol w:w="793"/>
        <w:gridCol w:w="411"/>
        <w:gridCol w:w="1722"/>
        <w:gridCol w:w="617"/>
        <w:gridCol w:w="389"/>
        <w:gridCol w:w="1300"/>
        <w:gridCol w:w="2486"/>
        <w:gridCol w:w="1169"/>
      </w:tblGrid>
      <w:tr>
        <w:trPr>
          <w:trHeight w:val="42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8"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项号</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采购文件需求</w:t>
            </w:r>
            <w:r/>
          </w:p>
        </w:tc>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响应产品规格及技术参数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偏离说明</w:t>
            </w:r>
            <w:r/>
          </w:p>
        </w:tc>
      </w:tr>
      <w:tr>
        <w:trPr>
          <w:trHeight w:val="64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货物名称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数量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技术参数要求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货物名称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品牌、厂家、型号规格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技术参数</w:t>
            </w:r>
            <w:r/>
          </w:p>
        </w:tc>
        <w:tc>
          <w:tcPr>
            <w:vMerge w:val="continue"/>
            <w:textDirection w:val="lrTb"/>
            <w:noWrap w:val="false"/>
          </w:tcPr>
          <w:p>
            <w:r/>
            <w:r/>
          </w:p>
        </w:tc>
      </w:tr>
      <w:tr>
        <w:trPr>
          <w:trHeight w:val="6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6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6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6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6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6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bl>
    <w:p>
      <w:pPr>
        <w:ind w:left="0" w:right="0" w:firstLine="42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注：“偏离说明”填写“正偏离”“负偏离”或“无偏离”。</w:t>
      </w:r>
      <w:r/>
    </w:p>
    <w:p>
      <w:pPr>
        <w:ind w:left="0" w:right="0" w:firstLine="42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投标人（盖章）：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法定代表人或委托代理人（签字或盖章）：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格式12、项目需求响应</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项目需求响应</w:t>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（请按“项目需求”要求自行填写，格式自定）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法定代表人或委托代理人（签字或盖章）：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格式13、</w:t>
      </w:r>
      <w:r/>
    </w:p>
    <w:p>
      <w:pPr>
        <w:ind w:left="0" w:right="0" w:firstLine="11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财务状况报告及税收、社会保障资金缴纳情况承诺函</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w:t>
      </w:r>
      <w:r>
        <w:rPr>
          <w:rFonts w:ascii="SimSun" w:hAnsi="SimSun" w:eastAsia="SimSun" w:cs="SimSun"/>
          <w:color w:val="000000"/>
          <w:sz w:val="21"/>
          <w:u w:val="single"/>
        </w:rPr>
        <w:t xml:space="preserve">                  </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我方</w:t>
      </w:r>
      <w:r>
        <w:rPr>
          <w:rFonts w:ascii="SimSun" w:hAnsi="SimSun" w:eastAsia="SimSun" w:cs="SimSun"/>
          <w:color w:val="000000"/>
          <w:sz w:val="21"/>
          <w:u w:val="single"/>
        </w:rPr>
        <w:t xml:space="preserve"> （投标人名称）</w:t>
      </w:r>
      <w:r>
        <w:rPr>
          <w:rFonts w:ascii="SimSun" w:hAnsi="SimSun" w:eastAsia="SimSun" w:cs="SimSun"/>
          <w:i/>
          <w:color w:val="000000"/>
          <w:sz w:val="21"/>
          <w:u w:val="single"/>
        </w:rPr>
        <w:t xml:space="preserve"> </w:t>
      </w:r>
      <w:r>
        <w:rPr>
          <w:rFonts w:ascii="SimSun" w:hAnsi="SimSun" w:eastAsia="SimSun" w:cs="SimSun"/>
          <w:color w:val="000000"/>
          <w:sz w:val="21"/>
        </w:rPr>
        <w:t xml:space="preserve">参加 </w:t>
      </w:r>
      <w:r>
        <w:rPr>
          <w:rFonts w:ascii="SimSun" w:hAnsi="SimSun" w:eastAsia="SimSun" w:cs="SimSun"/>
          <w:color w:val="000000"/>
          <w:sz w:val="21"/>
          <w:u w:val="single"/>
        </w:rPr>
        <w:t xml:space="preserve">                 </w:t>
      </w:r>
      <w:r>
        <w:rPr>
          <w:rFonts w:ascii="SimSun" w:hAnsi="SimSun" w:eastAsia="SimSun" w:cs="SimSun"/>
          <w:color w:val="000000"/>
          <w:sz w:val="21"/>
        </w:rPr>
        <w:t xml:space="preserve">（标段编号：</w:t>
      </w:r>
      <w:r>
        <w:rPr>
          <w:rFonts w:ascii="SimSun" w:hAnsi="SimSun" w:eastAsia="SimSun" w:cs="SimSun"/>
          <w:color w:val="000000"/>
          <w:sz w:val="21"/>
          <w:u w:val="single"/>
        </w:rPr>
        <w:t xml:space="preserve">           </w:t>
      </w:r>
      <w:r>
        <w:rPr>
          <w:rFonts w:ascii="SimSun" w:hAnsi="SimSun" w:eastAsia="SimSun" w:cs="SimSun"/>
          <w:color w:val="000000"/>
          <w:sz w:val="21"/>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（1）具有良好的商业信誉和健全的财务会计制度；</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（2）有依法缴纳税收和社会保障资金的良好记录。</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我方对上述承诺的真实性负责，如有虚假，将依法承担提供虚假材料谋取中标、成交责任，同时同意有关主管部门将相关失信信息记入公共信用信息系统并在相关政府门户网站公开。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特此承诺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法定代表人或委托代理人（签字或盖章）：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420" w:right="0" w:firstLine="420"/>
        <w:jc w:val="both"/>
        <w:spacing w:before="21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 合同专用条款表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本表是对第三章“政府采购合同格式”的补充和修改。如果两者之间有抵触，以本专用条款表为准。</w:t>
      </w:r>
      <w:r/>
    </w:p>
    <w:tbl>
      <w:tblPr>
        <w:tblStyle w:val="72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29"/>
        <w:gridCol w:w="8034"/>
      </w:tblGrid>
      <w:tr>
        <w:trPr>
          <w:trHeight w:val="31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条款号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3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内容</w:t>
            </w:r>
            <w:r/>
          </w:p>
        </w:tc>
      </w:tr>
      <w:tr>
        <w:trPr>
          <w:trHeight w:val="9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合同履行期限：</w:t>
            </w:r>
            <w:r>
              <w:rPr>
                <w:rFonts w:ascii="SimSun" w:hAnsi="SimSun" w:eastAsia="SimSun" w:cs="SimSun"/>
                <w:color w:val="0000ff"/>
                <w:sz w:val="24"/>
                <w:u w:val="single"/>
              </w:rPr>
              <w:t xml:space="preserve">本项目合同签订之日起</w:t>
            </w:r>
            <w:r>
              <w:rPr>
                <w:rFonts w:ascii="SimSun" w:hAnsi="SimSun" w:eastAsia="SimSun" w:cs="SimSun"/>
                <w:color w:val="000000"/>
                <w:sz w:val="24"/>
              </w:rPr>
              <w:t xml:space="preserve">12个月</w:t>
            </w:r>
            <w:r>
              <w:rPr>
                <w:rFonts w:ascii="SimSun" w:hAnsi="SimSun" w:eastAsia="SimSun" w:cs="SimSun"/>
                <w:color w:val="0000ff"/>
                <w:sz w:val="24"/>
                <w:u w:val="single"/>
              </w:rPr>
              <w:t xml:space="preserve">内</w:t>
            </w:r>
            <w:r>
              <w:rPr>
                <w:rFonts w:ascii="SimSun" w:hAnsi="SimSun" w:eastAsia="SimSun" w:cs="SimSun"/>
                <w:color w:val="000000"/>
                <w:sz w:val="24"/>
              </w:rPr>
              <w:t xml:space="preserve">完成</w:t>
            </w:r>
            <w:r/>
          </w:p>
        </w:tc>
      </w:tr>
      <w:tr>
        <w:trPr>
          <w:trHeight w:val="13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4" w:type="dxa"/>
            <w:vAlign w:val="center"/>
            <w:textDirection w:val="lrTb"/>
            <w:noWrap w:val="false"/>
          </w:tcPr>
          <w:p>
            <w:pPr>
              <w:ind w:left="0" w:right="0" w:firstLine="480"/>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SimSun" w:hAnsi="SimSun" w:eastAsia="SimSun" w:cs="SimSun"/>
                <w:b/>
                <w:color w:val="000000"/>
                <w:sz w:val="24"/>
              </w:rPr>
              <w:t xml:space="preserve">付款方式：</w:t>
            </w:r>
            <w:r>
              <w:rPr>
                <w:rFonts w:ascii="SimSun" w:hAnsi="SimSun" w:eastAsia="SimSun" w:cs="SimSun"/>
                <w:color w:val="000000"/>
                <w:sz w:val="24"/>
              </w:rPr>
              <w:t xml:space="preserve">第一次付款：乙方完成优先监管地块扩散监测方案编制并通过评审后支付合同金额的30%；</w:t>
            </w:r>
            <w:r/>
          </w:p>
          <w:p>
            <w:pPr>
              <w:ind w:left="0" w:right="0" w:firstLine="480"/>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第二次付款：完成优先监管地块扩散监测报告编制并通过评审后支付合同金额的70%。</w:t>
            </w:r>
            <w:r/>
          </w:p>
        </w:tc>
      </w:tr>
      <w:tr>
        <w:trPr>
          <w:trHeight w:val="5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4" w:type="dxa"/>
            <w:vAlign w:val="center"/>
            <w:textDirection w:val="lrTb"/>
            <w:noWrap w:val="false"/>
          </w:tcPr>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SimSun" w:hAnsi="SimSun" w:eastAsia="SimSun" w:cs="SimSun"/>
                <w:b/>
                <w:color w:val="000000"/>
                <w:sz w:val="24"/>
              </w:rPr>
              <w:t xml:space="preserve">项目成果</w:t>
            </w:r>
            <w:r>
              <w:rPr>
                <w:rFonts w:ascii="SimSun" w:hAnsi="SimSun" w:eastAsia="SimSun" w:cs="SimSun"/>
                <w:color w:val="000000"/>
                <w:sz w:val="24"/>
              </w:rPr>
              <w:t xml:space="preserve">：针对连云港市14个优先监管地块开展扩散监测工作，掌握优先监管地块污染扩散和对周边敏感目标的影响，并编制监测报告等，经专家评审会验收通过。</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注：招标文件中标注★号的部分为实质性要求和条件（由采购人根据实际情况设置），投标人必须作出满足或者优于原要求和条件的响应，否则投标无效。</w:t>
      </w:r>
      <w:r/>
    </w:p>
    <w:p>
      <w:pPr>
        <w:ind w:left="0" w:right="0" w:firstLine="80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80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第六章 </w:t>
      </w:r>
      <w:r>
        <w:rPr>
          <w:rFonts w:ascii="SimSun" w:hAnsi="SimSun" w:eastAsia="SimSun" w:cs="SimSun"/>
          <w:b/>
          <w:color w:val="000000"/>
          <w:sz w:val="40"/>
        </w:rPr>
        <w:t xml:space="preserve">项目需求</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说明：项目采购方式为公开招标，项目属性为服务，采购标的对应的中小企业划分标准所属行业为</w:t>
      </w:r>
      <w:r>
        <w:rPr>
          <w:rFonts w:ascii="SimSun" w:hAnsi="SimSun" w:eastAsia="SimSun" w:cs="SimSun"/>
          <w:color w:val="000000"/>
          <w:sz w:val="22"/>
          <w:u w:val="single"/>
        </w:rPr>
        <w:t xml:space="preserve">其他未列明行业</w:t>
      </w:r>
      <w:r>
        <w:rPr>
          <w:rFonts w:ascii="SimSun" w:hAnsi="SimSun" w:eastAsia="SimSun" w:cs="SimSun"/>
          <w:b/>
          <w:color w:val="000000"/>
          <w:sz w:val="22"/>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一、项目简述</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1.1、项目背景</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根据生态环境部办公厅《关于加强建设用地土壤污染防治有关重点工作的通知》（环办土壤函〔</w:t>
      </w:r>
      <w:r>
        <w:rPr>
          <w:rFonts w:ascii="Arial" w:hAnsi="Arial" w:eastAsia="Arial" w:cs="Arial"/>
          <w:color w:val="000000"/>
          <w:sz w:val="24"/>
          <w:highlight w:val="white"/>
        </w:rPr>
        <w:t xml:space="preserve">2022</w:t>
      </w:r>
      <w:r>
        <w:rPr>
          <w:rFonts w:ascii="SimSun" w:hAnsi="SimSun" w:eastAsia="SimSun" w:cs="SimSun"/>
          <w:color w:val="000000"/>
          <w:sz w:val="24"/>
          <w:highlight w:val="white"/>
        </w:rPr>
        <w:t xml:space="preserve">〕</w:t>
      </w:r>
      <w:r>
        <w:rPr>
          <w:rFonts w:ascii="Arial" w:hAnsi="Arial" w:eastAsia="Arial" w:cs="Arial"/>
          <w:color w:val="000000"/>
          <w:sz w:val="24"/>
          <w:highlight w:val="white"/>
        </w:rPr>
        <w:t xml:space="preserve">435</w:t>
      </w:r>
      <w:r>
        <w:rPr>
          <w:rFonts w:ascii="SimSun" w:hAnsi="SimSun" w:eastAsia="SimSun" w:cs="SimSun"/>
          <w:color w:val="000000"/>
          <w:sz w:val="24"/>
          <w:highlight w:val="white"/>
        </w:rPr>
        <w:t xml:space="preserve">号），“十四五”期间要加强关闭搬迁企业地块土壤污染风险管控，提出要“分步推进监管台账中地块的土壤污染风险管控。包括依法开展重点监测，根据相关文件要求，按照实际情况划定管控区域、设立标识、发布公告；有污染扩散风险的，开展环境监测；发现污染扩散且对周边敏感目标产生影响的，要及时采取工程控制措施，阻断土壤和地下水污染扩散，保护人体健康和周边环境安全；对拟开发利用的，依法开展后续土壤污染风险管控和修复相关活动，确保地块安全利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“十四五”期间应基本实现优先监管地块的土壤污染管控；分批实施，到</w:t>
      </w:r>
      <w:r>
        <w:rPr>
          <w:rFonts w:ascii="Arial" w:hAnsi="Arial" w:eastAsia="Arial" w:cs="Arial"/>
          <w:color w:val="000000"/>
          <w:sz w:val="24"/>
          <w:highlight w:val="white"/>
        </w:rPr>
        <w:t xml:space="preserve">2023</w:t>
      </w:r>
      <w:r>
        <w:rPr>
          <w:rFonts w:ascii="SimSun" w:hAnsi="SimSun" w:eastAsia="SimSun" w:cs="SimSun"/>
          <w:color w:val="000000"/>
          <w:sz w:val="24"/>
          <w:highlight w:val="white"/>
        </w:rPr>
        <w:t xml:space="preserve">年底前实施管控的地块比例不少于</w:t>
      </w:r>
      <w:r>
        <w:rPr>
          <w:rFonts w:ascii="Arial" w:hAnsi="Arial" w:eastAsia="Arial" w:cs="Arial"/>
          <w:color w:val="000000"/>
          <w:sz w:val="24"/>
          <w:highlight w:val="white"/>
        </w:rPr>
        <w:t xml:space="preserve">35%</w:t>
      </w:r>
      <w:r>
        <w:rPr>
          <w:rFonts w:ascii="SimSun" w:hAnsi="SimSun" w:eastAsia="SimSun" w:cs="SimSun"/>
          <w:color w:val="000000"/>
          <w:sz w:val="24"/>
          <w:highlight w:val="white"/>
        </w:rPr>
        <w:t xml:space="preserve">，</w:t>
      </w:r>
      <w:r>
        <w:rPr>
          <w:rFonts w:ascii="Arial" w:hAnsi="Arial" w:eastAsia="Arial" w:cs="Arial"/>
          <w:color w:val="000000"/>
          <w:sz w:val="24"/>
          <w:highlight w:val="white"/>
        </w:rPr>
        <w:t xml:space="preserve">2024</w:t>
      </w:r>
      <w:r>
        <w:rPr>
          <w:rFonts w:ascii="SimSun" w:hAnsi="SimSun" w:eastAsia="SimSun" w:cs="SimSun"/>
          <w:color w:val="000000"/>
          <w:sz w:val="24"/>
          <w:highlight w:val="white"/>
        </w:rPr>
        <w:t xml:space="preserve">年底前比例不少于</w:t>
      </w:r>
      <w:r>
        <w:rPr>
          <w:rFonts w:ascii="Arial" w:hAnsi="Arial" w:eastAsia="Arial" w:cs="Arial"/>
          <w:color w:val="000000"/>
          <w:sz w:val="24"/>
          <w:highlight w:val="white"/>
        </w:rPr>
        <w:t xml:space="preserve">75%</w:t>
      </w:r>
      <w:r>
        <w:rPr>
          <w:rFonts w:ascii="SimSun" w:hAnsi="SimSun" w:eastAsia="SimSun" w:cs="SimSun"/>
          <w:color w:val="000000"/>
          <w:sz w:val="24"/>
          <w:highlight w:val="white"/>
        </w:rPr>
        <w:t xml:space="preserve">，</w:t>
      </w:r>
      <w:r>
        <w:rPr>
          <w:rFonts w:ascii="Arial" w:hAnsi="Arial" w:eastAsia="Arial" w:cs="Arial"/>
          <w:color w:val="000000"/>
          <w:sz w:val="24"/>
          <w:highlight w:val="white"/>
        </w:rPr>
        <w:t xml:space="preserve">2025</w:t>
      </w:r>
      <w:r>
        <w:rPr>
          <w:rFonts w:ascii="SimSun" w:hAnsi="SimSun" w:eastAsia="SimSun" w:cs="SimSun"/>
          <w:color w:val="000000"/>
          <w:sz w:val="24"/>
          <w:highlight w:val="white"/>
        </w:rPr>
        <w:t xml:space="preserve">年底前实施管控的地块比例超过</w:t>
      </w:r>
      <w:r>
        <w:rPr>
          <w:rFonts w:ascii="Arial" w:hAnsi="Arial" w:eastAsia="Arial" w:cs="Arial"/>
          <w:color w:val="000000"/>
          <w:sz w:val="24"/>
          <w:highlight w:val="white"/>
        </w:rPr>
        <w:t xml:space="preserve">95%</w:t>
      </w:r>
      <w:r>
        <w:rPr>
          <w:rFonts w:ascii="SimSun" w:hAnsi="SimSun" w:eastAsia="SimSun" w:cs="SimSun"/>
          <w:color w:val="000000"/>
          <w:sz w:val="24"/>
          <w:highlight w:val="white"/>
        </w:rPr>
        <w:t xml:space="preserve">，基本完成污染管控。同时，“优先监管地块土壤污染风险管控率达到国家考核要求”纳入我局</w:t>
      </w:r>
      <w:r>
        <w:rPr>
          <w:rFonts w:ascii="Arial" w:hAnsi="Arial" w:eastAsia="Arial" w:cs="Arial"/>
          <w:color w:val="000000"/>
          <w:sz w:val="24"/>
          <w:highlight w:val="white"/>
        </w:rPr>
        <w:t xml:space="preserve">2025</w:t>
      </w:r>
      <w:r>
        <w:rPr>
          <w:rFonts w:ascii="SimSun" w:hAnsi="SimSun" w:eastAsia="SimSun" w:cs="SimSun"/>
          <w:color w:val="000000"/>
          <w:sz w:val="24"/>
          <w:highlight w:val="white"/>
        </w:rPr>
        <w:t xml:space="preserve">年治污攻坚重点任务。通过在地块边界和周边敏感目标处开展扩散监测，以分析污染扩散和对周边敏感目标的影响，为下一步判定是否实施工程管控提供依据。拟委托第三方机构提供连云港市优先监管地块扩散监测项目技术服务。</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highlight w:val="white"/>
        </w:rPr>
        <w:t xml:space="preserve">1.2</w:t>
      </w:r>
      <w:r>
        <w:rPr>
          <w:rFonts w:ascii="SimSun" w:hAnsi="SimSun" w:eastAsia="SimSun" w:cs="SimSun"/>
          <w:b/>
          <w:color w:val="000000"/>
          <w:sz w:val="24"/>
          <w:highlight w:val="white"/>
        </w:rPr>
        <w:t xml:space="preserve">、项目目标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highlight w:val="white"/>
          <w:u w:val="single"/>
        </w:rPr>
        <w:t xml:space="preserve">合同签订之日起</w:t>
      </w:r>
      <w:r>
        <w:rPr>
          <w:rFonts w:ascii="Arial" w:hAnsi="Arial" w:eastAsia="Arial" w:cs="Arial"/>
          <w:color w:val="0000ff"/>
          <w:sz w:val="24"/>
          <w:highlight w:val="white"/>
          <w:u w:val="single"/>
        </w:rPr>
        <w:t xml:space="preserve">12</w:t>
      </w:r>
      <w:r>
        <w:rPr>
          <w:rFonts w:ascii="SimSun" w:hAnsi="SimSun" w:eastAsia="SimSun" w:cs="SimSun"/>
          <w:color w:val="0000ff"/>
          <w:sz w:val="24"/>
          <w:highlight w:val="white"/>
          <w:u w:val="single"/>
        </w:rPr>
        <w:t xml:space="preserve">个月内</w:t>
      </w:r>
      <w:r>
        <w:rPr>
          <w:rFonts w:ascii="SimSun" w:hAnsi="SimSun" w:eastAsia="SimSun" w:cs="SimSun"/>
          <w:color w:val="000000"/>
          <w:sz w:val="24"/>
          <w:highlight w:val="white"/>
        </w:rPr>
        <w:t xml:space="preserve">完成优先监管地块扩散监测工作。</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二、项目内容</w:t>
      </w:r>
      <w:r/>
    </w:p>
    <w:tbl>
      <w:tblPr>
        <w:tblStyle w:val="72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11"/>
        <w:gridCol w:w="1511"/>
        <w:gridCol w:w="6633"/>
      </w:tblGrid>
      <w:tr>
        <w:trPr>
          <w:trHeight w:val="9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5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区县</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6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地块名称</w:t>
            </w:r>
            <w:r/>
          </w:p>
        </w:tc>
      </w:tr>
      <w:tr>
        <w:trPr>
          <w:trHeight w:val="13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5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灌云县</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原江苏五洋碳氢科技有限公司地块</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5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东海县</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原连云港市东金化工有限公司（原东海化工厂）地块</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5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东海县</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原连云港市恒润化工有限公司（原石湖化工厂）地块</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5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东海县</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原东海县润成溶剂厂（原东海县石湖第二化工厂）地块</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5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经开区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原连云港凯美得化工有限公司地块</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5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经开区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原连云港立本农药化工有限公司地块</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5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经开区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原连云港市云台三菱化工厂地块</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5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经开区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原连云港万特科技有限公司地块</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5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连云区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原连云港禧瀚实业有限公司地块</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5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海州区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原连云港市杰圩化工厂地块</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5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海州区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原连云港市云台电镀厂地块</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5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海州区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原连云港泰乐化学工业有限公司地块</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5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海州区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连云港新磷矿化有限责任公司</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5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海州区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原连云港贤能医药化学有限公司地块</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三、采购需求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（1）工作时限：</w:t>
      </w:r>
      <w:r>
        <w:rPr>
          <w:rFonts w:ascii="SimSun" w:hAnsi="SimSun" w:eastAsia="SimSun" w:cs="SimSun"/>
          <w:color w:val="0000ff"/>
          <w:sz w:val="24"/>
          <w:u w:val="single"/>
        </w:rPr>
        <w:t xml:space="preserve">本项目合同签订之日起</w:t>
      </w:r>
      <w:r>
        <w:rPr>
          <w:rFonts w:ascii="SimSun" w:hAnsi="SimSun" w:eastAsia="SimSun" w:cs="SimSun"/>
          <w:color w:val="000000"/>
          <w:sz w:val="24"/>
        </w:rPr>
        <w:t xml:space="preserve">12个月</w:t>
      </w:r>
      <w:r>
        <w:rPr>
          <w:rFonts w:ascii="SimSun" w:hAnsi="SimSun" w:eastAsia="SimSun" w:cs="SimSun"/>
          <w:color w:val="0000ff"/>
          <w:sz w:val="24"/>
          <w:u w:val="single"/>
        </w:rPr>
        <w:t xml:space="preserve">内</w:t>
      </w:r>
      <w:r>
        <w:rPr>
          <w:rFonts w:ascii="SimSun" w:hAnsi="SimSun" w:eastAsia="SimSun" w:cs="SimSun"/>
          <w:color w:val="000000"/>
          <w:sz w:val="24"/>
        </w:rPr>
        <w:t xml:space="preserve">完成。</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（2）地块数量：14个。</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（3）监测点位：地下水点位31个，环境空气点位15个。</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（4）样品采集：预计需采集并送检地下水样品84份、环境空气样品270份。</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（3）监测频次：地下水2次（丰水期、枯水期各1次）、环境空气2次（秋、冬季各1次）。</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（4）项目成果：针对连云港市14个优先监管地块开展扩散监测工作，掌握优先监管地块污染扩散和对周边敏感目标的影响，并编制监测报告等，经专家评审会验收通过。</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四、付款方式</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第一次付款：乙方完成优先监管地块扩散监测方案编制并通过评审后支付合同金额的30%；</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第二次付款：完成优先监管地块扩散监测报告编制并通过评审后支付合同金额的70%。</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七、其他要求</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工作中涉及的敏感资料、电子数据等相关信息，成交供应商应严格执行保密的相关规定，不得以任何方式向任何第三人披露、泄露或许可第三人使用，否则追究其相应法律责任。</w:t>
      </w:r>
      <w:r/>
    </w:p>
    <w:p>
      <w:pPr>
        <w:ind w:left="0" w:right="0" w:firstLine="0"/>
        <w:jc w:val="both"/>
        <w:spacing w:before="60" w:after="60" w:line="85" w:lineRule="atLeast"/>
        <w:tabs>
          <w:tab w:val="left" w:pos="426" w:leader="none"/>
          <w:tab w:val="left" w:pos="10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5" w:firstLine="480"/>
        <w:spacing w:before="22"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第七章 </w:t>
      </w:r>
      <w:r>
        <w:rPr>
          <w:rFonts w:ascii="SimHei" w:hAnsi="SimHei" w:eastAsia="SimHei" w:cs="SimHei"/>
          <w:color w:val="000000"/>
          <w:sz w:val="36"/>
          <w:u w:val="none"/>
        </w:rPr>
        <w:t xml:space="preserve">评标办法</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一、评标委员会构成：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本采购项目评标委员会的评委由采购人代表、相关专家组成。</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二、评标方法：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本项目评标方法采用综合评分法。综合评分法，是指投标文件满足招标文件全部实质性要求，且按照评审因素的量化指标评审得分最高的投标人为中标候选人的评标方法。</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三、评标原则：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四、评标标准：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（一）评标时，评标委员会以招标文件为评标依据，评标委员会各成员独立对每个投标人的投标文件进行评价，并汇总每个投标人的得分。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（二）本项目评分总分为100分，按四舍五入取至小数点后两位。</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（三）总得分 =价格分 + 商务技术分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938"/>
        <w:ind w:left="0" w:right="364" w:firstLine="0"/>
        <w:jc w:val="center"/>
        <w:spacing w:before="35" w:after="330" w:line="400" w:lineRule="atLeast"/>
        <w:tabs>
          <w:tab w:val="left" w:pos="128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综合评分法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）价格分（</w:t>
      </w:r>
      <w:r>
        <w:rPr>
          <w:rFonts w:ascii="Times New Roman" w:hAnsi="Times New Roman" w:eastAsia="Times New Roman" w:cs="Times New Roman"/>
          <w:color w:val="000000"/>
          <w:sz w:val="24"/>
        </w:rPr>
        <w:t xml:space="preserve">1</w:t>
      </w:r>
      <w:r>
        <w:rPr>
          <w:rFonts w:ascii="Times New Roman" w:hAnsi="Times New Roman" w:eastAsia="Times New Roman" w:cs="Times New Roman"/>
          <w:color w:val="0000ff"/>
          <w:sz w:val="24"/>
          <w:u w:val="single"/>
        </w:rPr>
        <w:t xml:space="preserve">5</w:t>
      </w:r>
      <w:r>
        <w:rPr>
          <w:rFonts w:ascii="SimSun" w:hAnsi="SimSun" w:eastAsia="SimSun" w:cs="SimSun"/>
          <w:color w:val="000000"/>
          <w:sz w:val="24"/>
        </w:rPr>
        <w:t xml:space="preserve">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采用低价优先法计算，即满足招标文件要求且投标价格最低的投标报价为评标基准价，其价格分为满分。其他投标人的价格分统一按照下列公式计算：</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投标报价得分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（评标基准价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投标报价）×</w:t>
      </w:r>
      <w:r>
        <w:rPr>
          <w:rFonts w:ascii="Times New Roman" w:hAnsi="Times New Roman" w:eastAsia="Times New Roman" w:cs="Times New Roman"/>
          <w:color w:val="000000"/>
          <w:sz w:val="24"/>
        </w:rPr>
        <w:t xml:space="preserve">1</w:t>
      </w:r>
      <w:r>
        <w:rPr>
          <w:rFonts w:ascii="Times New Roman" w:hAnsi="Times New Roman" w:eastAsia="Times New Roman" w:cs="Times New Roman"/>
          <w:color w:val="0000ff"/>
          <w:sz w:val="24"/>
          <w:u w:val="single"/>
        </w:rPr>
        <w:t xml:space="preserve">5</w:t>
      </w:r>
      <w:r>
        <w:rPr>
          <w:rFonts w:ascii="SimSun" w:hAnsi="SimSun" w:eastAsia="SimSun" w:cs="SimSun"/>
          <w:color w:val="000000"/>
          <w:sz w:val="24"/>
        </w:rPr>
        <w:t xml:space="preserve">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因落实政府采购政策进行价格调整的，以调整后的价格计算评标基准价和投标报价，小数点后保留两位。</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）商务分（</w:t>
      </w:r>
      <w:r>
        <w:rPr>
          <w:rFonts w:ascii="Times New Roman" w:hAnsi="Times New Roman" w:eastAsia="Times New Roman" w:cs="Times New Roman"/>
          <w:color w:val="000000"/>
          <w:sz w:val="24"/>
        </w:rPr>
        <w:t xml:space="preserve">5</w:t>
      </w:r>
      <w:r>
        <w:rPr>
          <w:rFonts w:ascii="Times New Roman" w:hAnsi="Times New Roman" w:eastAsia="Times New Roman" w:cs="Times New Roman"/>
          <w:color w:val="0000ff"/>
          <w:sz w:val="24"/>
          <w:u w:val="single"/>
        </w:rPr>
        <w:t xml:space="preserve">0</w:t>
      </w:r>
      <w:r>
        <w:rPr>
          <w:rFonts w:ascii="SimSun" w:hAnsi="SimSun" w:eastAsia="SimSun" w:cs="SimSun"/>
          <w:color w:val="000000"/>
          <w:sz w:val="24"/>
        </w:rPr>
        <w:t xml:space="preserve">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tbl>
      <w:tblPr>
        <w:tblStyle w:val="72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81"/>
        <w:gridCol w:w="6847"/>
      </w:tblGrid>
      <w:tr>
        <w:trPr>
          <w:trHeight w:val="62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left="0" w:right="0" w:firstLine="0"/>
              <w:jc w:val="center"/>
              <w:spacing w:before="0" w:after="0" w:line="85"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u w:val="none"/>
              </w:rPr>
              <w:t xml:space="preserve">评审因素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47" w:type="dxa"/>
            <w:vAlign w:val="center"/>
            <w:textDirection w:val="lrTb"/>
            <w:noWrap w:val="false"/>
          </w:tcPr>
          <w:p>
            <w:pPr>
              <w:ind w:left="0" w:right="0" w:firstLine="0"/>
              <w:jc w:val="center"/>
              <w:spacing w:before="0" w:after="0" w:line="85"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评审标准</w:t>
            </w:r>
            <w:r/>
          </w:p>
        </w:tc>
      </w:tr>
      <w:tr>
        <w:trPr>
          <w:trHeight w:val="6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项目保障（</w:t>
            </w:r>
            <w:r>
              <w:rPr>
                <w:rFonts w:ascii="Times New Roman" w:hAnsi="Times New Roman" w:eastAsia="Times New Roman" w:cs="Times New Roman"/>
                <w:color w:val="000000"/>
                <w:sz w:val="21"/>
              </w:rPr>
              <w:t xml:space="preserve">16</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47" w:type="dxa"/>
            <w:vAlign w:val="center"/>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、投标人承担过省级及以上土壤或地下水相关课题研究的，有一个得</w:t>
            </w:r>
            <w:r>
              <w:rPr>
                <w:rFonts w:ascii="Times New Roman" w:hAnsi="Times New Roman" w:eastAsia="Times New Roman" w:cs="Times New Roman"/>
                <w:color w:val="000000"/>
                <w:sz w:val="22"/>
              </w:rPr>
              <w:t xml:space="preserve">4</w:t>
            </w:r>
            <w:r>
              <w:rPr>
                <w:rFonts w:ascii="SimSun" w:hAnsi="SimSun" w:eastAsia="SimSun" w:cs="SimSun"/>
                <w:color w:val="000000"/>
                <w:sz w:val="22"/>
              </w:rPr>
              <w:t xml:space="preserve">分，承担市级土壤或地下水相关课题研究的，有一个得到</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分，同级别颁奖单位颁发的奖项或荣誉不累计得分，本项最最高</w:t>
            </w:r>
            <w:r>
              <w:rPr>
                <w:rFonts w:ascii="Times New Roman" w:hAnsi="Times New Roman" w:eastAsia="Times New Roman" w:cs="Times New Roman"/>
                <w:color w:val="000000"/>
                <w:sz w:val="22"/>
              </w:rPr>
              <w:t xml:space="preserve">4</w:t>
            </w:r>
            <w:r>
              <w:rPr>
                <w:rFonts w:ascii="SimSun" w:hAnsi="SimSun" w:eastAsia="SimSun" w:cs="SimSun"/>
                <w:color w:val="000000"/>
                <w:sz w:val="22"/>
              </w:rPr>
              <w:t xml:space="preserve">分；</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、投标人或其全资子公司</w:t>
            </w:r>
            <w:r>
              <w:rPr>
                <w:rFonts w:ascii="SimSun" w:hAnsi="SimSun" w:eastAsia="SimSun" w:cs="SimSun"/>
                <w:color w:val="0000ff"/>
                <w:sz w:val="22"/>
                <w:u w:val="single"/>
              </w:rPr>
              <w:t xml:space="preserve">或</w:t>
            </w:r>
            <w:r>
              <w:rPr>
                <w:rFonts w:ascii="SimSun" w:hAnsi="SimSun" w:eastAsia="SimSun" w:cs="SimSun"/>
                <w:color w:val="000000"/>
                <w:sz w:val="22"/>
              </w:rPr>
              <w:t xml:space="preserve">其占股公司的实验室获得</w:t>
            </w:r>
            <w:r>
              <w:rPr>
                <w:rFonts w:ascii="Times New Roman" w:hAnsi="Times New Roman" w:eastAsia="Times New Roman" w:cs="Times New Roman"/>
                <w:color w:val="000000"/>
                <w:sz w:val="22"/>
              </w:rPr>
              <w:t xml:space="preserve">CMA</w:t>
            </w:r>
            <w:r>
              <w:rPr>
                <w:rFonts w:ascii="SimSun" w:hAnsi="SimSun" w:eastAsia="SimSun" w:cs="SimSun"/>
                <w:color w:val="000000"/>
                <w:sz w:val="22"/>
              </w:rPr>
              <w:t xml:space="preserve">认证的得</w:t>
            </w:r>
            <w:r>
              <w:rPr>
                <w:rFonts w:ascii="Times New Roman" w:hAnsi="Times New Roman" w:eastAsia="Times New Roman" w:cs="Times New Roman"/>
                <w:color w:val="000000"/>
                <w:sz w:val="22"/>
              </w:rPr>
              <w:t xml:space="preserve">4</w:t>
            </w:r>
            <w:r>
              <w:rPr>
                <w:rFonts w:ascii="SimSun" w:hAnsi="SimSun" w:eastAsia="SimSun" w:cs="SimSun"/>
                <w:color w:val="000000"/>
                <w:sz w:val="22"/>
              </w:rPr>
              <w:t xml:space="preserve">分，本项最高得</w:t>
            </w:r>
            <w:r>
              <w:rPr>
                <w:rFonts w:ascii="Times New Roman" w:hAnsi="Times New Roman" w:eastAsia="Times New Roman" w:cs="Times New Roman"/>
                <w:color w:val="000000"/>
                <w:sz w:val="22"/>
              </w:rPr>
              <w:t xml:space="preserve">4</w:t>
            </w:r>
            <w:r>
              <w:rPr>
                <w:rFonts w:ascii="SimSun" w:hAnsi="SimSun" w:eastAsia="SimSun" w:cs="SimSun"/>
                <w:color w:val="000000"/>
                <w:sz w:val="22"/>
              </w:rPr>
              <w:t xml:space="preserve">分；</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、投标人获得过省级及以上污染场地调查相关环境保护科学技术奖得</w:t>
            </w:r>
            <w:r>
              <w:rPr>
                <w:rFonts w:ascii="Times New Roman" w:hAnsi="Times New Roman" w:eastAsia="Times New Roman" w:cs="Times New Roman"/>
                <w:color w:val="000000"/>
                <w:sz w:val="22"/>
              </w:rPr>
              <w:t xml:space="preserve">4</w:t>
            </w:r>
            <w:r>
              <w:rPr>
                <w:rFonts w:ascii="SimSun" w:hAnsi="SimSun" w:eastAsia="SimSun" w:cs="SimSun"/>
                <w:color w:val="000000"/>
                <w:sz w:val="22"/>
              </w:rPr>
              <w:t xml:space="preserve">分；</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w:t>
            </w:r>
            <w:r>
              <w:rPr>
                <w:rFonts w:ascii="SimSun" w:hAnsi="SimSun" w:eastAsia="SimSun" w:cs="SimSun"/>
                <w:color w:val="000000"/>
                <w:sz w:val="22"/>
              </w:rPr>
              <w:t xml:space="preserve">、投标人承担的市级污染源调查、普查项目获得国家政府部门一等奖的得</w:t>
            </w:r>
            <w:r>
              <w:rPr>
                <w:rFonts w:ascii="Times New Roman" w:hAnsi="Times New Roman" w:eastAsia="Times New Roman" w:cs="Times New Roman"/>
                <w:color w:val="000000"/>
                <w:sz w:val="22"/>
              </w:rPr>
              <w:t xml:space="preserve">4</w:t>
            </w:r>
            <w:r>
              <w:rPr>
                <w:rFonts w:ascii="SimSun" w:hAnsi="SimSun" w:eastAsia="SimSun" w:cs="SimSun"/>
                <w:color w:val="000000"/>
                <w:sz w:val="22"/>
              </w:rPr>
              <w:t xml:space="preserve">分，二等奖得</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分，最多得</w:t>
            </w:r>
            <w:r>
              <w:rPr>
                <w:rFonts w:ascii="Times New Roman" w:hAnsi="Times New Roman" w:eastAsia="Times New Roman" w:cs="Times New Roman"/>
                <w:color w:val="000000"/>
                <w:sz w:val="22"/>
              </w:rPr>
              <w:t xml:space="preserve">4</w:t>
            </w:r>
            <w:r>
              <w:rPr>
                <w:rFonts w:ascii="SimSun" w:hAnsi="SimSun" w:eastAsia="SimSun" w:cs="SimSun"/>
                <w:color w:val="000000"/>
                <w:sz w:val="22"/>
              </w:rPr>
              <w:t xml:space="preserve">分。</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注：投标文件提供相关证书、证明材料扫描件并加盖投标人公章，未提供不得分。</w:t>
            </w:r>
            <w:r/>
          </w:p>
        </w:tc>
      </w:tr>
      <w:tr>
        <w:trPr>
          <w:trHeight w:val="16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类似业绩（</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47" w:type="dxa"/>
            <w:vAlign w:val="center"/>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w:t>
            </w:r>
            <w:r>
              <w:rPr>
                <w:rFonts w:ascii="Times New Roman" w:hAnsi="Times New Roman" w:eastAsia="Times New Roman" w:cs="Times New Roman"/>
                <w:color w:val="000000"/>
                <w:sz w:val="22"/>
              </w:rPr>
              <w:t xml:space="preserve">2022</w:t>
            </w:r>
            <w:r>
              <w:rPr>
                <w:rFonts w:ascii="SimSun" w:hAnsi="SimSun" w:eastAsia="SimSun" w:cs="SimSun"/>
                <w:color w:val="000000"/>
                <w:sz w:val="22"/>
              </w:rPr>
              <w:t xml:space="preserve">年</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月</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日（含）以来，投标人承担过与本项目类似业绩（包括但不限于土壤污染重点监管单位周边监测、典型行业企业及周边土壤污染状况调查、重点行业企业用地土壤污染状况调查）等，每有一项得</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分，最高</w:t>
            </w:r>
            <w:r>
              <w:rPr>
                <w:rFonts w:ascii="Times New Roman" w:hAnsi="Times New Roman" w:eastAsia="Times New Roman" w:cs="Times New Roman"/>
                <w:color w:val="000000"/>
                <w:sz w:val="22"/>
              </w:rPr>
              <w:t xml:space="preserve">8</w:t>
            </w:r>
            <w:r>
              <w:rPr>
                <w:rFonts w:ascii="SimSun" w:hAnsi="SimSun" w:eastAsia="SimSun" w:cs="SimSun"/>
                <w:color w:val="000000"/>
                <w:sz w:val="22"/>
              </w:rPr>
              <w:t xml:space="preserve">分。</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注：投标文件提供合同或其他履行合同证明的扫描件并加盖投标人公章，未提供不得分。</w:t>
            </w:r>
            <w:r/>
          </w:p>
        </w:tc>
      </w:tr>
      <w:tr>
        <w:trPr>
          <w:trHeight w:val="6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w:t>
            </w: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47" w:type="dxa"/>
            <w:vAlign w:val="center"/>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投标人拟派项目负责人：</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1、具有环境保护类副高级职称得3分，正高级职称得4分，按最高分计，不重复得分，本项最高得4分；</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2、具有硕士学位得3分，博士学位得4分，按最高分计，不重复得分，本项最高得4分；</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3、具有注册环保工程师得到2分，具有注册环评师证书的得到2分，同时具有注册环保工程师和注册环评师证书的得到4分。</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注：投标文件提供相关证书、证明材料扫描件并加盖投标人公章，同时提供2025年1月（含）以来任意一个月由投标人为其缴纳社保证明，未提供不得分。</w:t>
            </w:r>
            <w:r/>
          </w:p>
        </w:tc>
      </w:tr>
      <w:tr>
        <w:trPr>
          <w:trHeight w:val="6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项目组成员（</w:t>
            </w:r>
            <w:r>
              <w:rPr>
                <w:rFonts w:ascii="Times New Roman" w:hAnsi="Times New Roman" w:eastAsia="Times New Roman" w:cs="Times New Roman"/>
                <w:color w:val="000000"/>
                <w:sz w:val="21"/>
              </w:rPr>
              <w:t xml:space="preserve">14</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47" w:type="dxa"/>
            <w:vAlign w:val="center"/>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投标人拟派技术负责人：</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1、具有环境保护类副高级职称得2分，正高级职称得3分，按最高分计，不重复得分，本项最高得3分；</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2、2020年以来承担过省级及以上污染场地调查评估课题研究负责人的得3分；</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3、是省级及以上地下水类或土壤环境领域专家的，得到2分。</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项目组成员：</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拟派项目组成员（除项目负责人和技术负责人外）具有高级工程师（含）以上职称证书的，每配备1人得0.5分，最高得2.5分；配备本科及以上环境监测治理与评价、水文地质学、地质工程、地下水科学与工程、地理信息系统、勘察技术与工程、测绘工程相关专业人员的，每配备1个专业得0.5分，最高得3.5分，每个专业重复提供不多得分。本项合计最高得6分。</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注：投标文件提供相关证书、证明材料扫描件并加盖投标人公章，同时提供2025年1月（含）以来任意一个月由投标人为其缴纳社保证明，未提供不得分。</w:t>
            </w:r>
            <w:r/>
          </w:p>
        </w:tc>
      </w:tr>
    </w:tbl>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）技术分（</w:t>
      </w:r>
      <w:r>
        <w:rPr>
          <w:rFonts w:ascii="Times New Roman" w:hAnsi="Times New Roman" w:eastAsia="Times New Roman" w:cs="Times New Roman"/>
          <w:color w:val="000000"/>
          <w:sz w:val="24"/>
        </w:rPr>
        <w:t xml:space="preserve">35</w:t>
      </w:r>
      <w:r>
        <w:rPr>
          <w:rFonts w:ascii="SimSun" w:hAnsi="SimSun" w:eastAsia="SimSun" w:cs="SimSun"/>
          <w:color w:val="000000"/>
          <w:sz w:val="24"/>
        </w:rPr>
        <w:t xml:space="preserve">分）</w:t>
      </w:r>
      <w:r/>
    </w:p>
    <w:tbl>
      <w:tblPr>
        <w:tblStyle w:val="72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83"/>
        <w:gridCol w:w="6845"/>
      </w:tblGrid>
      <w:tr>
        <w:trPr>
          <w:trHeight w:val="62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3" w:type="dxa"/>
            <w:vAlign w:val="center"/>
            <w:textDirection w:val="lrTb"/>
            <w:noWrap w:val="false"/>
          </w:tcPr>
          <w:p>
            <w:pPr>
              <w:ind w:left="0" w:right="0" w:firstLine="0"/>
              <w:jc w:val="center"/>
              <w:spacing w:before="0" w:after="0" w:line="85"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评审因素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45" w:type="dxa"/>
            <w:vAlign w:val="center"/>
            <w:textDirection w:val="lrTb"/>
            <w:noWrap w:val="false"/>
          </w:tcPr>
          <w:p>
            <w:pPr>
              <w:ind w:left="0" w:right="0" w:firstLine="0"/>
              <w:jc w:val="center"/>
              <w:spacing w:before="0" w:after="0" w:line="85"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评审标准</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项目背景及需求理解（</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45" w:type="dxa"/>
            <w:vAlign w:val="center"/>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投标文件提供项目背景及需求理解方案，内容包括但不限于项目背景、项目现状和目标需求。</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项目理解清晰明确，能充分了解项目现状及目标需求，问题分析准确、归纳总结详细的，得</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分；</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基本了解项目现状及目标需求，问题分析及归纳情况总结比较详细的，得</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供应商除采购文件提供的相关信息外，无法提供更多的有效的针对性的背景理解及需求分析，得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本项未见阐述不得分。</w:t>
            </w:r>
            <w:r/>
          </w:p>
        </w:tc>
      </w:tr>
      <w:tr>
        <w:trPr>
          <w:trHeight w:val="6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实施方案（</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45" w:type="dxa"/>
            <w:vAlign w:val="center"/>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投标文件提供项目实施方案，内容包括但不限于相关标准和规范、质控方式、质控比例等内容。</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方案科学合理，符合相关标准和规范，能科学合理指导开展工作，满足项目需求的，得</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分；</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方案比较合理，涵盖重要环节，基本满足项目需求的，得</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分；</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方案部分合理，在满足项目需求方面欠缺、思路清晰性一般的，得</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本项未见阐述不得分。</w:t>
            </w:r>
            <w:r/>
          </w:p>
        </w:tc>
      </w:tr>
      <w:tr>
        <w:trPr>
          <w:trHeight w:val="6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重难点分析（</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45" w:type="dxa"/>
            <w:vAlign w:val="center"/>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投标文件提供项目重难点分析方案，内容包括但不限于重点及难点的认识、关键问题分析、解决思路及合理化建议等。</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项目重点、难点及问题分析合理，相关解决思路及建议满足采购需求的得</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项目重点、难点及问题分析比较合理，相关解决思路及建议比较满足采购需求的得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项目重点、难点及问题分析不完善、操作性不强，后期优化后可实现采购需求的得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本项未见阐述不得分。</w:t>
            </w:r>
            <w:r/>
          </w:p>
        </w:tc>
      </w:tr>
      <w:tr>
        <w:trPr>
          <w:trHeight w:val="6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质量保障措施（</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45" w:type="dxa"/>
            <w:vAlign w:val="center"/>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投标文件提供项目质量保障措施方案，内容包括但不限于推进过程中各项保障措施、相关应急预案、对接协调机制。</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质量保证措施完善合理、实际操作性强，满足采购需求的，得</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措施思路完整、实际操作性一般，比较满足采购需求的，得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措施内容不完善、操作性不强的，得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本项未见阐述不得分。</w:t>
            </w:r>
            <w:r/>
          </w:p>
        </w:tc>
      </w:tr>
      <w:tr>
        <w:trPr>
          <w:trHeight w:val="6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进度安排（</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45" w:type="dxa"/>
            <w:vAlign w:val="center"/>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投标文件提供项目进度安排方案，内容包括但不限于进度规划、组织措施、工作时间安排。</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进度安排详细、组织科学、合理可行，满足采购需求的，得</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进度安排涵盖重要环节，组织措施比较合理，比较满足采购需求的，得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进度安排简单，组织措施合理性一般，与采购需求存在偏差的，得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本项未见阐述不得分。</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w:t>
      </w:r>
      <w:r>
        <w:rPr>
          <w:rFonts w:ascii="SimSun" w:hAnsi="SimSun" w:eastAsia="SimSun" w:cs="SimSun"/>
          <w:b/>
          <w:color w:val="000000"/>
          <w:sz w:val="21"/>
        </w:rPr>
        <w:t xml:space="preserve">提供上述相关证明材料原件扫描件并加盖公章或电子签章上传至电子投标文件中，因上传的证明文件内容模糊不清，难以辨认的，造成打分项不能及时得分的，后果由供应商自行承担；</w:t>
      </w:r>
      <w:r>
        <w:rPr>
          <w:rFonts w:ascii="SimSun" w:hAnsi="SimSun" w:eastAsia="SimSun" w:cs="SimSun"/>
          <w:b/>
          <w:color w:val="000000"/>
          <w:sz w:val="22"/>
        </w:rPr>
        <w:t xml:space="preserve">供应商得分应取所有评委小组成员评分的平均值。</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r/>
      <w:r/>
    </w:p>
    <w:sectPr>
      <w:footerReference w:type="default" r:id="rId9"/>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Mincho">
    <w:panose1 w:val="02020603050405090304"/>
  </w:font>
  <w:font w:name="SimHei">
    <w:panose1 w:val="02010609060101010101"/>
  </w:font>
  <w:font w:name="FangSong">
    <w:panose1 w:val="02010609060101010101"/>
  </w:font>
  <w:font w:name="Wingdings">
    <w:panose1 w:val="05000000000000000000"/>
  </w:font>
  <w:font w:name="KaiTi">
    <w:panose1 w:val="02010609060101010101"/>
  </w:font>
  <w:font w:name="新宋体">
    <w:panose1 w:val="02010609030101010101"/>
  </w:font>
  <w:font w:name="Symbol">
    <w:panose1 w:val="05050102010706020507"/>
  </w:font>
  <w:font w:name="Courier New">
    <w:panose1 w:val="02070309020205020404"/>
  </w:font>
  <w:font w:name="楷体_GB2312">
    <w:panose1 w:val="02010609060101010101"/>
  </w:font>
  <w:font w:name="Calibri">
    <w:panose1 w:val="020F0502020204030204"/>
  </w:font>
  <w:font w:name="Cambria">
    <w:panose1 w:val="02040503050406030204"/>
  </w:font>
  <w:font w:name="黑体">
    <w:panose1 w:val="02010609060101010101"/>
  </w:font>
  <w:font w:name="Arial">
    <w:panose1 w:val="020B0604020202020204"/>
  </w:font>
  <w:font w:name="monospace">
    <w:panose1 w:val="020B0503020202020204"/>
  </w:font>
  <w:font w:name="SimSun">
    <w:panose1 w:val="02010600030101010101"/>
  </w:font>
  <w:font w:name="宋体">
    <w:panose1 w:val="02010600030101010101"/>
  </w:font>
  <w:font w:name="Times New Roman">
    <w:panose1 w:val="02020603050405020304"/>
  </w:font>
  <w:font w:name="Microsoft YaHei">
    <w:panose1 w:val="020B0503020204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rPr>
                              <w:rFonts w:hint="eastAsia"/>
                            </w:rPr>
                          </w:r>
                          <w:r/>
                        </w:p>
                        <w:p>
                          <w:pPr>
                            <w:pStyle w:val="86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rPr>
                        <w:rFonts w:hint="eastAsia"/>
                      </w:rPr>
                    </w:r>
                    <w:r/>
                  </w:p>
                  <w:p>
                    <w:pPr>
                      <w:pStyle w:val="864"/>
                    </w:pPr>
                    <w:r/>
                    <w:r/>
                  </w:p>
                </w:txbxContent>
              </v:textbox>
            </v:shape>
          </w:pict>
        </mc:Fallback>
      </mc:AlternateContent>
    </w: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pStyle w:val="86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isLgl w:val="false"/>
      <w:suff w:val="tab"/>
      <w:lvlText w:val=""/>
      <w:lvlJc w:val="left"/>
      <w:pPr>
        <w:pStyle w:val="864"/>
        <w:ind w:left="840" w:hanging="420"/>
      </w:pPr>
      <w:rPr>
        <w:rFonts w:ascii="Wingdings" w:hAnsi="Wingdings"/>
      </w:rPr>
    </w:lvl>
    <w:lvl w:ilvl="1">
      <w:start w:val="1"/>
      <w:numFmt w:val="bullet"/>
      <w:isLgl w:val="false"/>
      <w:suff w:val="tab"/>
      <w:lvlText w:val=""/>
      <w:lvlJc w:val="left"/>
      <w:pPr>
        <w:pStyle w:val="864"/>
        <w:ind w:left="1260" w:hanging="420"/>
      </w:pPr>
      <w:rPr>
        <w:rFonts w:ascii="Wingdings" w:hAnsi="Wingdings"/>
      </w:rPr>
    </w:lvl>
    <w:lvl w:ilvl="2">
      <w:start w:val="1"/>
      <w:numFmt w:val="bullet"/>
      <w:isLgl w:val="false"/>
      <w:suff w:val="tab"/>
      <w:lvlText w:val=""/>
      <w:lvlJc w:val="left"/>
      <w:pPr>
        <w:pStyle w:val="864"/>
        <w:ind w:left="1680" w:hanging="420"/>
      </w:pPr>
      <w:rPr>
        <w:rFonts w:ascii="Wingdings" w:hAnsi="Wingdings"/>
      </w:rPr>
    </w:lvl>
    <w:lvl w:ilvl="3">
      <w:start w:val="1"/>
      <w:numFmt w:val="bullet"/>
      <w:isLgl w:val="false"/>
      <w:suff w:val="tab"/>
      <w:lvlText w:val=""/>
      <w:lvlJc w:val="left"/>
      <w:pPr>
        <w:pStyle w:val="864"/>
        <w:ind w:left="2100" w:hanging="420"/>
      </w:pPr>
      <w:rPr>
        <w:rFonts w:ascii="Wingdings" w:hAnsi="Wingdings"/>
      </w:rPr>
    </w:lvl>
    <w:lvl w:ilvl="4">
      <w:start w:val="1"/>
      <w:numFmt w:val="bullet"/>
      <w:isLgl w:val="false"/>
      <w:suff w:val="tab"/>
      <w:lvlText w:val=""/>
      <w:lvlJc w:val="left"/>
      <w:pPr>
        <w:pStyle w:val="864"/>
        <w:ind w:left="2520" w:hanging="420"/>
      </w:pPr>
      <w:rPr>
        <w:rFonts w:ascii="Wingdings" w:hAnsi="Wingdings"/>
      </w:rPr>
    </w:lvl>
    <w:lvl w:ilvl="5">
      <w:start w:val="1"/>
      <w:numFmt w:val="bullet"/>
      <w:isLgl w:val="false"/>
      <w:suff w:val="tab"/>
      <w:lvlText w:val=""/>
      <w:lvlJc w:val="left"/>
      <w:pPr>
        <w:pStyle w:val="864"/>
        <w:ind w:left="2940" w:hanging="420"/>
      </w:pPr>
      <w:rPr>
        <w:rFonts w:ascii="Wingdings" w:hAnsi="Wingdings"/>
      </w:rPr>
    </w:lvl>
    <w:lvl w:ilvl="6">
      <w:start w:val="1"/>
      <w:numFmt w:val="bullet"/>
      <w:isLgl w:val="false"/>
      <w:suff w:val="tab"/>
      <w:lvlText w:val=""/>
      <w:lvlJc w:val="left"/>
      <w:pPr>
        <w:pStyle w:val="864"/>
        <w:ind w:left="3360" w:hanging="420"/>
      </w:pPr>
      <w:rPr>
        <w:rFonts w:ascii="Wingdings" w:hAnsi="Wingdings"/>
      </w:rPr>
    </w:lvl>
    <w:lvl w:ilvl="7">
      <w:start w:val="1"/>
      <w:numFmt w:val="bullet"/>
      <w:isLgl w:val="false"/>
      <w:suff w:val="tab"/>
      <w:lvlText w:val=""/>
      <w:lvlJc w:val="left"/>
      <w:pPr>
        <w:pStyle w:val="864"/>
        <w:ind w:left="3780" w:hanging="420"/>
      </w:pPr>
      <w:rPr>
        <w:rFonts w:ascii="Wingdings" w:hAnsi="Wingdings"/>
      </w:rPr>
    </w:lvl>
    <w:lvl w:ilvl="8">
      <w:start w:val="1"/>
      <w:numFmt w:val="bullet"/>
      <w:isLgl w:val="false"/>
      <w:suff w:val="tab"/>
      <w:lvlText w:val=""/>
      <w:lvlJc w:val="left"/>
      <w:pPr>
        <w:pStyle w:val="864"/>
        <w:ind w:left="4200" w:hanging="420"/>
      </w:pPr>
      <w:rPr>
        <w:rFonts w:ascii="Wingdings" w:hAnsi="Wingdings"/>
      </w:rPr>
    </w:lvl>
  </w:abstractNum>
  <w:abstractNum w:abstractNumId="2">
    <w:multiLevelType w:val="hybridMultilevel"/>
    <w:lvl w:ilvl="0">
      <w:start w:val="6"/>
      <w:numFmt w:val="chineseCounting"/>
      <w:isLgl w:val="false"/>
      <w:suff w:val="nothing"/>
      <w:lvlText w:val="%1、"/>
      <w:lvlJc w:val="left"/>
      <w:pPr>
        <w:pStyle w:val="86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7"/>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7"/>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8">
    <w:name w:val="Heading 2"/>
    <w:basedOn w:val="864"/>
    <w:next w:val="864"/>
    <w:link w:val="689"/>
    <w:uiPriority w:val="9"/>
    <w:unhideWhenUsed/>
    <w:qFormat/>
    <w:pPr>
      <w:keepLines/>
      <w:keepNext/>
      <w:spacing w:before="360" w:after="200"/>
      <w:outlineLvl w:val="1"/>
    </w:pPr>
    <w:rPr>
      <w:rFonts w:ascii="Arial" w:hAnsi="Arial" w:eastAsia="Arial" w:cs="Arial"/>
      <w:sz w:val="34"/>
    </w:rPr>
  </w:style>
  <w:style w:type="character" w:styleId="689">
    <w:name w:val="Heading 2 Char"/>
    <w:link w:val="688"/>
    <w:uiPriority w:val="9"/>
    <w:rPr>
      <w:rFonts w:ascii="Arial" w:hAnsi="Arial" w:eastAsia="Arial" w:cs="Arial"/>
      <w:sz w:val="34"/>
    </w:rPr>
  </w:style>
  <w:style w:type="paragraph" w:styleId="690">
    <w:name w:val="Heading 3"/>
    <w:basedOn w:val="864"/>
    <w:next w:val="864"/>
    <w:link w:val="691"/>
    <w:uiPriority w:val="9"/>
    <w:unhideWhenUsed/>
    <w:qFormat/>
    <w:pPr>
      <w:keepLines/>
      <w:keepNext/>
      <w:spacing w:before="320" w:after="200"/>
      <w:outlineLvl w:val="2"/>
    </w:pPr>
    <w:rPr>
      <w:rFonts w:ascii="Arial" w:hAnsi="Arial" w:eastAsia="Arial" w:cs="Arial"/>
      <w:sz w:val="30"/>
      <w:szCs w:val="30"/>
    </w:rPr>
  </w:style>
  <w:style w:type="character" w:styleId="691">
    <w:name w:val="Heading 3 Char"/>
    <w:link w:val="690"/>
    <w:uiPriority w:val="9"/>
    <w:rPr>
      <w:rFonts w:ascii="Arial" w:hAnsi="Arial" w:eastAsia="Arial" w:cs="Arial"/>
      <w:sz w:val="30"/>
      <w:szCs w:val="30"/>
    </w:rPr>
  </w:style>
  <w:style w:type="paragraph" w:styleId="692">
    <w:name w:val="Heading 4"/>
    <w:basedOn w:val="864"/>
    <w:next w:val="864"/>
    <w:link w:val="693"/>
    <w:uiPriority w:val="9"/>
    <w:unhideWhenUsed/>
    <w:qFormat/>
    <w:pPr>
      <w:keepLines/>
      <w:keepNext/>
      <w:spacing w:before="320" w:after="200"/>
      <w:outlineLvl w:val="3"/>
    </w:pPr>
    <w:rPr>
      <w:rFonts w:ascii="Arial" w:hAnsi="Arial" w:eastAsia="Arial" w:cs="Arial"/>
      <w:b/>
      <w:bCs/>
      <w:sz w:val="26"/>
      <w:szCs w:val="26"/>
    </w:rPr>
  </w:style>
  <w:style w:type="character" w:styleId="693">
    <w:name w:val="Heading 4 Char"/>
    <w:link w:val="692"/>
    <w:uiPriority w:val="9"/>
    <w:rPr>
      <w:rFonts w:ascii="Arial" w:hAnsi="Arial" w:eastAsia="Arial" w:cs="Arial"/>
      <w:b/>
      <w:bCs/>
      <w:sz w:val="26"/>
      <w:szCs w:val="26"/>
    </w:rPr>
  </w:style>
  <w:style w:type="paragraph" w:styleId="694">
    <w:name w:val="Heading 5"/>
    <w:basedOn w:val="864"/>
    <w:next w:val="864"/>
    <w:link w:val="695"/>
    <w:uiPriority w:val="9"/>
    <w:unhideWhenUsed/>
    <w:qFormat/>
    <w:pPr>
      <w:keepLines/>
      <w:keepNext/>
      <w:spacing w:before="320" w:after="200"/>
      <w:outlineLvl w:val="4"/>
    </w:pPr>
    <w:rPr>
      <w:rFonts w:ascii="Arial" w:hAnsi="Arial" w:eastAsia="Arial" w:cs="Arial"/>
      <w:b/>
      <w:bCs/>
      <w:sz w:val="24"/>
      <w:szCs w:val="24"/>
    </w:rPr>
  </w:style>
  <w:style w:type="character" w:styleId="695">
    <w:name w:val="Heading 5 Char"/>
    <w:link w:val="694"/>
    <w:uiPriority w:val="9"/>
    <w:rPr>
      <w:rFonts w:ascii="Arial" w:hAnsi="Arial" w:eastAsia="Arial" w:cs="Arial"/>
      <w:b/>
      <w:bCs/>
      <w:sz w:val="24"/>
      <w:szCs w:val="24"/>
    </w:rPr>
  </w:style>
  <w:style w:type="paragraph" w:styleId="696">
    <w:name w:val="Heading 6"/>
    <w:basedOn w:val="864"/>
    <w:next w:val="864"/>
    <w:link w:val="697"/>
    <w:uiPriority w:val="9"/>
    <w:unhideWhenUsed/>
    <w:qFormat/>
    <w:pPr>
      <w:keepLines/>
      <w:keepNext/>
      <w:spacing w:before="320" w:after="200"/>
      <w:outlineLvl w:val="5"/>
    </w:pPr>
    <w:rPr>
      <w:rFonts w:ascii="Arial" w:hAnsi="Arial" w:eastAsia="Arial" w:cs="Arial"/>
      <w:b/>
      <w:bCs/>
      <w:sz w:val="22"/>
      <w:szCs w:val="22"/>
    </w:rPr>
  </w:style>
  <w:style w:type="character" w:styleId="697">
    <w:name w:val="Heading 6 Char"/>
    <w:link w:val="696"/>
    <w:uiPriority w:val="9"/>
    <w:rPr>
      <w:rFonts w:ascii="Arial" w:hAnsi="Arial" w:eastAsia="Arial" w:cs="Arial"/>
      <w:b/>
      <w:bCs/>
      <w:sz w:val="22"/>
      <w:szCs w:val="22"/>
    </w:rPr>
  </w:style>
  <w:style w:type="paragraph" w:styleId="698">
    <w:name w:val="Heading 7"/>
    <w:basedOn w:val="864"/>
    <w:next w:val="864"/>
    <w:link w:val="699"/>
    <w:uiPriority w:val="9"/>
    <w:unhideWhenUsed/>
    <w:qFormat/>
    <w:pPr>
      <w:keepLines/>
      <w:keepNext/>
      <w:spacing w:before="320" w:after="200"/>
      <w:outlineLvl w:val="6"/>
    </w:pPr>
    <w:rPr>
      <w:rFonts w:ascii="Arial" w:hAnsi="Arial" w:eastAsia="Arial" w:cs="Arial"/>
      <w:b/>
      <w:bCs/>
      <w:i/>
      <w:iCs/>
      <w:sz w:val="22"/>
      <w:szCs w:val="22"/>
    </w:rPr>
  </w:style>
  <w:style w:type="character" w:styleId="699">
    <w:name w:val="Heading 7 Char"/>
    <w:link w:val="698"/>
    <w:uiPriority w:val="9"/>
    <w:rPr>
      <w:rFonts w:ascii="Arial" w:hAnsi="Arial" w:eastAsia="Arial" w:cs="Arial"/>
      <w:b/>
      <w:bCs/>
      <w:i/>
      <w:iCs/>
      <w:sz w:val="22"/>
      <w:szCs w:val="22"/>
    </w:rPr>
  </w:style>
  <w:style w:type="paragraph" w:styleId="700">
    <w:name w:val="Heading 8"/>
    <w:basedOn w:val="864"/>
    <w:next w:val="864"/>
    <w:link w:val="701"/>
    <w:uiPriority w:val="9"/>
    <w:unhideWhenUsed/>
    <w:qFormat/>
    <w:pPr>
      <w:keepLines/>
      <w:keepNext/>
      <w:spacing w:before="320" w:after="200"/>
      <w:outlineLvl w:val="7"/>
    </w:pPr>
    <w:rPr>
      <w:rFonts w:ascii="Arial" w:hAnsi="Arial" w:eastAsia="Arial" w:cs="Arial"/>
      <w:i/>
      <w:iCs/>
      <w:sz w:val="22"/>
      <w:szCs w:val="22"/>
    </w:rPr>
  </w:style>
  <w:style w:type="character" w:styleId="701">
    <w:name w:val="Heading 8 Char"/>
    <w:link w:val="700"/>
    <w:uiPriority w:val="9"/>
    <w:rPr>
      <w:rFonts w:ascii="Arial" w:hAnsi="Arial" w:eastAsia="Arial" w:cs="Arial"/>
      <w:i/>
      <w:iCs/>
      <w:sz w:val="22"/>
      <w:szCs w:val="22"/>
    </w:rPr>
  </w:style>
  <w:style w:type="paragraph" w:styleId="702">
    <w:name w:val="Heading 9"/>
    <w:basedOn w:val="864"/>
    <w:next w:val="864"/>
    <w:link w:val="703"/>
    <w:uiPriority w:val="9"/>
    <w:unhideWhenUsed/>
    <w:qFormat/>
    <w:pPr>
      <w:keepLines/>
      <w:keepNext/>
      <w:spacing w:before="320" w:after="200"/>
      <w:outlineLvl w:val="8"/>
    </w:pPr>
    <w:rPr>
      <w:rFonts w:ascii="Arial" w:hAnsi="Arial" w:eastAsia="Arial" w:cs="Arial"/>
      <w:i/>
      <w:iCs/>
      <w:sz w:val="21"/>
      <w:szCs w:val="21"/>
    </w:rPr>
  </w:style>
  <w:style w:type="character" w:styleId="703">
    <w:name w:val="Heading 9 Char"/>
    <w:link w:val="702"/>
    <w:uiPriority w:val="9"/>
    <w:rPr>
      <w:rFonts w:ascii="Arial" w:hAnsi="Arial" w:eastAsia="Arial" w:cs="Arial"/>
      <w:i/>
      <w:iCs/>
      <w:sz w:val="21"/>
      <w:szCs w:val="21"/>
    </w:rPr>
  </w:style>
  <w:style w:type="paragraph" w:styleId="704">
    <w:name w:val="List Paragraph"/>
    <w:basedOn w:val="864"/>
    <w:uiPriority w:val="34"/>
    <w:qFormat/>
    <w:pPr>
      <w:contextualSpacing/>
      <w:ind w:left="720"/>
    </w:pPr>
  </w:style>
  <w:style w:type="paragraph" w:styleId="705">
    <w:name w:val="No Spacing"/>
    <w:uiPriority w:val="1"/>
    <w:qFormat/>
    <w:pPr>
      <w:spacing w:before="0" w:after="0" w:line="240" w:lineRule="auto"/>
    </w:pPr>
  </w:style>
  <w:style w:type="paragraph" w:styleId="706">
    <w:name w:val="Title"/>
    <w:basedOn w:val="864"/>
    <w:next w:val="864"/>
    <w:link w:val="707"/>
    <w:uiPriority w:val="10"/>
    <w:qFormat/>
    <w:pPr>
      <w:contextualSpacing/>
      <w:spacing w:before="300" w:after="200"/>
    </w:pPr>
    <w:rPr>
      <w:sz w:val="48"/>
      <w:szCs w:val="48"/>
    </w:rPr>
  </w:style>
  <w:style w:type="character" w:styleId="707">
    <w:name w:val="Title Char"/>
    <w:link w:val="706"/>
    <w:uiPriority w:val="10"/>
    <w:rPr>
      <w:sz w:val="48"/>
      <w:szCs w:val="48"/>
    </w:rPr>
  </w:style>
  <w:style w:type="paragraph" w:styleId="708">
    <w:name w:val="Subtitle"/>
    <w:basedOn w:val="864"/>
    <w:next w:val="864"/>
    <w:link w:val="709"/>
    <w:uiPriority w:val="11"/>
    <w:qFormat/>
    <w:pPr>
      <w:spacing w:before="200" w:after="200"/>
    </w:pPr>
    <w:rPr>
      <w:sz w:val="24"/>
      <w:szCs w:val="24"/>
    </w:rPr>
  </w:style>
  <w:style w:type="character" w:styleId="709">
    <w:name w:val="Subtitle Char"/>
    <w:link w:val="708"/>
    <w:uiPriority w:val="11"/>
    <w:rPr>
      <w:sz w:val="24"/>
      <w:szCs w:val="24"/>
    </w:rPr>
  </w:style>
  <w:style w:type="paragraph" w:styleId="710">
    <w:name w:val="Quote"/>
    <w:basedOn w:val="864"/>
    <w:next w:val="864"/>
    <w:link w:val="711"/>
    <w:uiPriority w:val="29"/>
    <w:qFormat/>
    <w:pPr>
      <w:ind w:left="720" w:right="720"/>
    </w:pPr>
    <w:rPr>
      <w:i/>
    </w:rPr>
  </w:style>
  <w:style w:type="character" w:styleId="711">
    <w:name w:val="Quote Char"/>
    <w:link w:val="710"/>
    <w:uiPriority w:val="29"/>
    <w:rPr>
      <w:i/>
    </w:rPr>
  </w:style>
  <w:style w:type="paragraph" w:styleId="712">
    <w:name w:val="Intense Quote"/>
    <w:basedOn w:val="864"/>
    <w:next w:val="864"/>
    <w:link w:val="71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3">
    <w:name w:val="Intense Quote Char"/>
    <w:link w:val="712"/>
    <w:uiPriority w:val="30"/>
    <w:rPr>
      <w:i/>
    </w:rPr>
  </w:style>
  <w:style w:type="paragraph" w:styleId="714">
    <w:name w:val="Header"/>
    <w:basedOn w:val="864"/>
    <w:link w:val="715"/>
    <w:uiPriority w:val="99"/>
    <w:unhideWhenUsed/>
    <w:pPr>
      <w:spacing w:after="0" w:line="240" w:lineRule="auto"/>
      <w:tabs>
        <w:tab w:val="center" w:pos="7143" w:leader="none"/>
        <w:tab w:val="right" w:pos="14287" w:leader="none"/>
      </w:tabs>
    </w:pPr>
  </w:style>
  <w:style w:type="character" w:styleId="715">
    <w:name w:val="Header Char"/>
    <w:link w:val="714"/>
    <w:uiPriority w:val="99"/>
  </w:style>
  <w:style w:type="paragraph" w:styleId="716">
    <w:name w:val="Footer"/>
    <w:basedOn w:val="864"/>
    <w:link w:val="719"/>
    <w:uiPriority w:val="99"/>
    <w:unhideWhenUsed/>
    <w:pPr>
      <w:spacing w:after="0" w:line="240" w:lineRule="auto"/>
      <w:tabs>
        <w:tab w:val="center" w:pos="7143" w:leader="none"/>
        <w:tab w:val="right" w:pos="14287" w:leader="none"/>
      </w:tabs>
    </w:pPr>
  </w:style>
  <w:style w:type="character" w:styleId="717">
    <w:name w:val="Footer Char"/>
    <w:link w:val="716"/>
    <w:uiPriority w:val="99"/>
  </w:style>
  <w:style w:type="paragraph" w:styleId="718">
    <w:name w:val="Caption"/>
    <w:basedOn w:val="864"/>
    <w:next w:val="864"/>
    <w:uiPriority w:val="35"/>
    <w:semiHidden/>
    <w:unhideWhenUsed/>
    <w:qFormat/>
    <w:pPr>
      <w:spacing w:line="276" w:lineRule="auto"/>
    </w:pPr>
    <w:rPr>
      <w:b/>
      <w:bCs/>
      <w:color w:val="4f81bd" w:themeColor="accent1"/>
      <w:sz w:val="18"/>
      <w:szCs w:val="18"/>
    </w:rPr>
  </w:style>
  <w:style w:type="character" w:styleId="719">
    <w:name w:val="Caption Char"/>
    <w:basedOn w:val="718"/>
    <w:link w:val="716"/>
    <w:uiPriority w:val="99"/>
  </w:style>
  <w:style w:type="table" w:styleId="72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6">
    <w:name w:val="Hyperlink"/>
    <w:uiPriority w:val="99"/>
    <w:unhideWhenUsed/>
    <w:rPr>
      <w:color w:val="0000ff" w:themeColor="hyperlink"/>
      <w:u w:val="single"/>
    </w:rPr>
  </w:style>
  <w:style w:type="paragraph" w:styleId="847">
    <w:name w:val="footnote text"/>
    <w:basedOn w:val="864"/>
    <w:link w:val="848"/>
    <w:uiPriority w:val="99"/>
    <w:semiHidden/>
    <w:unhideWhenUsed/>
    <w:pPr>
      <w:spacing w:after="40" w:line="240" w:lineRule="auto"/>
    </w:pPr>
    <w:rPr>
      <w:sz w:val="18"/>
    </w:rPr>
  </w:style>
  <w:style w:type="character" w:styleId="848">
    <w:name w:val="Footnote Text Char"/>
    <w:link w:val="847"/>
    <w:uiPriority w:val="99"/>
    <w:rPr>
      <w:sz w:val="18"/>
    </w:rPr>
  </w:style>
  <w:style w:type="character" w:styleId="849">
    <w:name w:val="footnote reference"/>
    <w:uiPriority w:val="99"/>
    <w:unhideWhenUsed/>
    <w:rPr>
      <w:vertAlign w:val="superscript"/>
    </w:rPr>
  </w:style>
  <w:style w:type="paragraph" w:styleId="850">
    <w:name w:val="endnote text"/>
    <w:basedOn w:val="864"/>
    <w:link w:val="851"/>
    <w:uiPriority w:val="99"/>
    <w:semiHidden/>
    <w:unhideWhenUsed/>
    <w:pPr>
      <w:spacing w:after="0" w:line="240" w:lineRule="auto"/>
    </w:pPr>
    <w:rPr>
      <w:sz w:val="20"/>
    </w:rPr>
  </w:style>
  <w:style w:type="character" w:styleId="851">
    <w:name w:val="Endnote Text Char"/>
    <w:link w:val="850"/>
    <w:uiPriority w:val="99"/>
    <w:rPr>
      <w:sz w:val="20"/>
    </w:rPr>
  </w:style>
  <w:style w:type="character" w:styleId="852">
    <w:name w:val="endnote reference"/>
    <w:uiPriority w:val="99"/>
    <w:semiHidden/>
    <w:unhideWhenUsed/>
    <w:rPr>
      <w:vertAlign w:val="superscript"/>
    </w:rPr>
  </w:style>
  <w:style w:type="paragraph" w:styleId="853">
    <w:name w:val="toc 1"/>
    <w:basedOn w:val="864"/>
    <w:next w:val="864"/>
    <w:uiPriority w:val="39"/>
    <w:unhideWhenUsed/>
    <w:pPr>
      <w:ind w:left="0" w:right="0" w:firstLine="0"/>
      <w:spacing w:after="57"/>
    </w:pPr>
  </w:style>
  <w:style w:type="paragraph" w:styleId="854">
    <w:name w:val="toc 2"/>
    <w:basedOn w:val="864"/>
    <w:next w:val="864"/>
    <w:uiPriority w:val="39"/>
    <w:unhideWhenUsed/>
    <w:pPr>
      <w:ind w:left="283" w:right="0" w:firstLine="0"/>
      <w:spacing w:after="57"/>
    </w:pPr>
  </w:style>
  <w:style w:type="paragraph" w:styleId="855">
    <w:name w:val="toc 3"/>
    <w:basedOn w:val="864"/>
    <w:next w:val="864"/>
    <w:uiPriority w:val="39"/>
    <w:unhideWhenUsed/>
    <w:pPr>
      <w:ind w:left="567" w:right="0" w:firstLine="0"/>
      <w:spacing w:after="57"/>
    </w:pPr>
  </w:style>
  <w:style w:type="paragraph" w:styleId="856">
    <w:name w:val="toc 4"/>
    <w:basedOn w:val="864"/>
    <w:next w:val="864"/>
    <w:uiPriority w:val="39"/>
    <w:unhideWhenUsed/>
    <w:pPr>
      <w:ind w:left="850" w:right="0" w:firstLine="0"/>
      <w:spacing w:after="57"/>
    </w:pPr>
  </w:style>
  <w:style w:type="paragraph" w:styleId="857">
    <w:name w:val="toc 5"/>
    <w:basedOn w:val="864"/>
    <w:next w:val="864"/>
    <w:uiPriority w:val="39"/>
    <w:unhideWhenUsed/>
    <w:pPr>
      <w:ind w:left="1134" w:right="0" w:firstLine="0"/>
      <w:spacing w:after="57"/>
    </w:pPr>
  </w:style>
  <w:style w:type="paragraph" w:styleId="858">
    <w:name w:val="toc 6"/>
    <w:basedOn w:val="864"/>
    <w:next w:val="864"/>
    <w:uiPriority w:val="39"/>
    <w:unhideWhenUsed/>
    <w:pPr>
      <w:ind w:left="1417" w:right="0" w:firstLine="0"/>
      <w:spacing w:after="57"/>
    </w:pPr>
  </w:style>
  <w:style w:type="paragraph" w:styleId="859">
    <w:name w:val="toc 7"/>
    <w:basedOn w:val="864"/>
    <w:next w:val="864"/>
    <w:uiPriority w:val="39"/>
    <w:unhideWhenUsed/>
    <w:pPr>
      <w:ind w:left="1701" w:right="0" w:firstLine="0"/>
      <w:spacing w:after="57"/>
    </w:pPr>
  </w:style>
  <w:style w:type="paragraph" w:styleId="860">
    <w:name w:val="toc 8"/>
    <w:basedOn w:val="864"/>
    <w:next w:val="864"/>
    <w:uiPriority w:val="39"/>
    <w:unhideWhenUsed/>
    <w:pPr>
      <w:ind w:left="1984" w:right="0" w:firstLine="0"/>
      <w:spacing w:after="57"/>
    </w:pPr>
  </w:style>
  <w:style w:type="paragraph" w:styleId="861">
    <w:name w:val="toc 9"/>
    <w:basedOn w:val="864"/>
    <w:next w:val="864"/>
    <w:uiPriority w:val="39"/>
    <w:unhideWhenUsed/>
    <w:pPr>
      <w:ind w:left="2268" w:right="0" w:firstLine="0"/>
      <w:spacing w:after="57"/>
    </w:pPr>
  </w:style>
  <w:style w:type="paragraph" w:styleId="862">
    <w:name w:val="TOC Heading"/>
    <w:uiPriority w:val="39"/>
    <w:unhideWhenUsed/>
  </w:style>
  <w:style w:type="paragraph" w:styleId="863">
    <w:name w:val="table of figures"/>
    <w:basedOn w:val="864"/>
    <w:next w:val="864"/>
    <w:uiPriority w:val="99"/>
    <w:unhideWhenUsed/>
    <w:pPr>
      <w:spacing w:after="0" w:afterAutospacing="0"/>
    </w:pPr>
  </w:style>
  <w:style w:type="paragraph" w:styleId="864" w:default="1">
    <w:name w:val="Normal"/>
    <w:next w:val="864"/>
    <w:link w:val="864"/>
    <w:qFormat/>
    <w:pPr>
      <w:jc w:val="both"/>
      <w:widowControl w:val="off"/>
    </w:pPr>
    <w:rPr>
      <w:sz w:val="21"/>
      <w:szCs w:val="24"/>
      <w:lang w:val="en-US" w:eastAsia="zh-CN" w:bidi="ar-SA"/>
    </w:rPr>
  </w:style>
  <w:style w:type="paragraph" w:styleId="865">
    <w:name w:val="标题 1"/>
    <w:basedOn w:val="864"/>
    <w:next w:val="864"/>
    <w:link w:val="876"/>
    <w:qFormat/>
    <w:pPr>
      <w:keepLines/>
      <w:keepNext/>
      <w:spacing w:before="340" w:after="330" w:line="578" w:lineRule="auto"/>
      <w:outlineLvl w:val="0"/>
    </w:pPr>
    <w:rPr>
      <w:b/>
      <w:bCs/>
      <w:sz w:val="44"/>
      <w:szCs w:val="44"/>
    </w:rPr>
  </w:style>
  <w:style w:type="paragraph" w:styleId="866">
    <w:name w:val="标题 2"/>
    <w:basedOn w:val="864"/>
    <w:next w:val="864"/>
    <w:link w:val="864"/>
    <w:qFormat/>
    <w:pPr>
      <w:keepLines/>
      <w:keepNext/>
      <w:spacing w:before="260" w:after="260" w:line="416" w:lineRule="auto"/>
      <w:outlineLvl w:val="1"/>
    </w:pPr>
    <w:rPr>
      <w:rFonts w:ascii="Arial" w:hAnsi="Arial" w:eastAsia="黑体"/>
      <w:b/>
      <w:bCs/>
      <w:sz w:val="32"/>
      <w:szCs w:val="32"/>
    </w:rPr>
  </w:style>
  <w:style w:type="paragraph" w:styleId="867">
    <w:name w:val="标题 3"/>
    <w:basedOn w:val="864"/>
    <w:next w:val="864"/>
    <w:link w:val="877"/>
    <w:qFormat/>
    <w:pPr>
      <w:keepLines/>
      <w:keepNext/>
      <w:spacing w:before="20" w:after="20" w:line="416" w:lineRule="auto"/>
      <w:outlineLvl w:val="2"/>
    </w:pPr>
    <w:rPr>
      <w:rFonts w:ascii="Cambria" w:hAnsi="Cambria" w:eastAsia="Cambria"/>
      <w:b/>
      <w:color w:val="4f81bd"/>
      <w:sz w:val="20"/>
      <w:szCs w:val="20"/>
    </w:rPr>
  </w:style>
  <w:style w:type="paragraph" w:styleId="868">
    <w:name w:val="标题 4"/>
    <w:basedOn w:val="864"/>
    <w:next w:val="864"/>
    <w:link w:val="878"/>
    <w:qFormat/>
    <w:pPr>
      <w:keepLines/>
      <w:keepNext/>
      <w:spacing w:before="280" w:beforeAutospacing="0" w:after="290" w:afterAutospacing="0" w:line="372" w:lineRule="auto"/>
      <w:outlineLvl w:val="3"/>
    </w:pPr>
    <w:rPr>
      <w:rFonts w:ascii="Cambria" w:hAnsi="Cambria" w:eastAsia="Cambria"/>
      <w:b/>
      <w:i/>
      <w:color w:val="4f81bd"/>
      <w:sz w:val="20"/>
      <w:szCs w:val="20"/>
    </w:rPr>
  </w:style>
  <w:style w:type="paragraph" w:styleId="869">
    <w:name w:val="标题 5"/>
    <w:basedOn w:val="864"/>
    <w:next w:val="864"/>
    <w:link w:val="879"/>
    <w:qFormat/>
    <w:pPr>
      <w:keepLines/>
      <w:keepNext/>
      <w:spacing w:before="280" w:beforeAutospacing="0" w:after="290" w:afterAutospacing="0" w:line="372" w:lineRule="auto"/>
      <w:outlineLvl w:val="4"/>
    </w:pPr>
    <w:rPr>
      <w:rFonts w:ascii="Cambria" w:hAnsi="Cambria" w:eastAsia="Cambria"/>
      <w:color w:val="243f61"/>
      <w:sz w:val="20"/>
      <w:szCs w:val="20"/>
    </w:rPr>
  </w:style>
  <w:style w:type="paragraph" w:styleId="870">
    <w:name w:val="标题 6"/>
    <w:basedOn w:val="864"/>
    <w:next w:val="864"/>
    <w:link w:val="880"/>
    <w:qFormat/>
    <w:pPr>
      <w:keepLines/>
      <w:keepNext/>
      <w:spacing w:before="240" w:beforeAutospacing="0" w:after="64" w:afterAutospacing="0" w:line="317" w:lineRule="auto"/>
      <w:outlineLvl w:val="5"/>
    </w:pPr>
    <w:rPr>
      <w:rFonts w:ascii="Cambria" w:hAnsi="Cambria" w:eastAsia="Cambria"/>
      <w:i/>
      <w:color w:val="243f61"/>
      <w:sz w:val="20"/>
      <w:szCs w:val="20"/>
    </w:rPr>
  </w:style>
  <w:style w:type="paragraph" w:styleId="871">
    <w:name w:val="标题 7"/>
    <w:basedOn w:val="864"/>
    <w:next w:val="864"/>
    <w:link w:val="881"/>
    <w:qFormat/>
    <w:pPr>
      <w:keepLines/>
      <w:keepNext/>
      <w:spacing w:before="240" w:beforeAutospacing="0" w:after="64" w:afterAutospacing="0" w:line="317" w:lineRule="auto"/>
      <w:outlineLvl w:val="6"/>
    </w:pPr>
    <w:rPr>
      <w:rFonts w:ascii="Cambria" w:hAnsi="Cambria" w:eastAsia="Cambria"/>
      <w:i/>
      <w:color w:val="3f3f3f"/>
      <w:sz w:val="20"/>
      <w:szCs w:val="20"/>
    </w:rPr>
  </w:style>
  <w:style w:type="paragraph" w:styleId="872">
    <w:name w:val="标题 8"/>
    <w:basedOn w:val="864"/>
    <w:next w:val="864"/>
    <w:link w:val="882"/>
    <w:qFormat/>
    <w:pPr>
      <w:keepLines/>
      <w:keepNext/>
      <w:spacing w:before="240" w:beforeAutospacing="0" w:after="64" w:afterAutospacing="0" w:line="317" w:lineRule="auto"/>
      <w:outlineLvl w:val="7"/>
    </w:pPr>
    <w:rPr>
      <w:rFonts w:ascii="Cambria" w:hAnsi="Cambria" w:eastAsia="Cambria"/>
      <w:color w:val="4f81bd"/>
      <w:sz w:val="20"/>
      <w:szCs w:val="20"/>
    </w:rPr>
  </w:style>
  <w:style w:type="paragraph" w:styleId="873">
    <w:name w:val="标题 9"/>
    <w:basedOn w:val="864"/>
    <w:next w:val="864"/>
    <w:link w:val="883"/>
    <w:qFormat/>
    <w:pPr>
      <w:keepLines/>
      <w:keepNext/>
      <w:spacing w:before="240" w:beforeAutospacing="0" w:after="64" w:afterAutospacing="0" w:line="317" w:lineRule="auto"/>
      <w:outlineLvl w:val="8"/>
    </w:pPr>
    <w:rPr>
      <w:rFonts w:ascii="Cambria" w:hAnsi="Cambria" w:eastAsia="Cambria"/>
      <w:i/>
      <w:color w:val="3f3f3f"/>
      <w:sz w:val="20"/>
      <w:szCs w:val="20"/>
    </w:rPr>
  </w:style>
  <w:style w:type="character" w:styleId="874">
    <w:name w:val="默认段落字体"/>
    <w:next w:val="874"/>
    <w:link w:val="864"/>
    <w:semiHidden/>
  </w:style>
  <w:style w:type="table" w:styleId="875">
    <w:name w:val="普通表格"/>
    <w:next w:val="875"/>
    <w:link w:val="864"/>
    <w:semiHidden/>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style>
  <w:style w:type="character" w:styleId="876">
    <w:name w:val="标题 1 字符"/>
    <w:next w:val="876"/>
    <w:link w:val="865"/>
    <w:rPr>
      <w:b/>
      <w:bCs/>
      <w:sz w:val="44"/>
      <w:szCs w:val="44"/>
    </w:rPr>
  </w:style>
  <w:style w:type="character" w:styleId="877">
    <w:name w:val="标题 3 字符"/>
    <w:next w:val="877"/>
    <w:link w:val="867"/>
    <w:rPr>
      <w:rFonts w:ascii="Cambria" w:hAnsi="Cambria" w:eastAsia="Cambria" w:cs="Cambria"/>
      <w:b/>
      <w:color w:val="4f81bd"/>
    </w:rPr>
  </w:style>
  <w:style w:type="character" w:styleId="878">
    <w:name w:val="标题 4 字符"/>
    <w:next w:val="878"/>
    <w:link w:val="868"/>
    <w:rPr>
      <w:rFonts w:ascii="Cambria" w:hAnsi="Cambria" w:eastAsia="Cambria" w:cs="Cambria"/>
      <w:b/>
      <w:i/>
      <w:color w:val="4f81bd"/>
    </w:rPr>
  </w:style>
  <w:style w:type="character" w:styleId="879">
    <w:name w:val="标题 5 字符"/>
    <w:next w:val="879"/>
    <w:link w:val="869"/>
    <w:rPr>
      <w:rFonts w:ascii="Cambria" w:hAnsi="Cambria" w:eastAsia="Cambria" w:cs="Cambria"/>
      <w:color w:val="243f61"/>
    </w:rPr>
  </w:style>
  <w:style w:type="character" w:styleId="880">
    <w:name w:val="标题 6 字符"/>
    <w:next w:val="880"/>
    <w:link w:val="870"/>
    <w:rPr>
      <w:rFonts w:ascii="Cambria" w:hAnsi="Cambria" w:eastAsia="Cambria" w:cs="Cambria"/>
      <w:i/>
      <w:color w:val="243f61"/>
    </w:rPr>
  </w:style>
  <w:style w:type="character" w:styleId="881">
    <w:name w:val="标题 7 字符"/>
    <w:next w:val="881"/>
    <w:link w:val="871"/>
    <w:rPr>
      <w:rFonts w:ascii="Cambria" w:hAnsi="Cambria" w:eastAsia="Cambria" w:cs="Cambria"/>
      <w:i/>
      <w:color w:val="3f3f3f"/>
    </w:rPr>
  </w:style>
  <w:style w:type="character" w:styleId="882">
    <w:name w:val="标题 8 字符"/>
    <w:next w:val="882"/>
    <w:link w:val="872"/>
    <w:rPr>
      <w:rFonts w:ascii="Cambria" w:hAnsi="Cambria" w:eastAsia="Cambria" w:cs="Cambria"/>
      <w:color w:val="4f81bd"/>
    </w:rPr>
  </w:style>
  <w:style w:type="character" w:styleId="883">
    <w:name w:val="标题 9 字符"/>
    <w:next w:val="883"/>
    <w:link w:val="873"/>
    <w:rPr>
      <w:rFonts w:ascii="Cambria" w:hAnsi="Cambria" w:eastAsia="Cambria" w:cs="Cambria"/>
      <w:i/>
      <w:color w:val="3f3f3f"/>
    </w:rPr>
  </w:style>
  <w:style w:type="paragraph" w:styleId="884">
    <w:name w:val="引文目录"/>
    <w:basedOn w:val="864"/>
    <w:next w:val="864"/>
    <w:link w:val="864"/>
    <w:qFormat/>
    <w:pPr>
      <w:ind w:left="420"/>
    </w:pPr>
  </w:style>
  <w:style w:type="paragraph" w:styleId="885">
    <w:name w:val="正文缩进"/>
    <w:basedOn w:val="864"/>
    <w:next w:val="885"/>
    <w:link w:val="886"/>
    <w:qFormat/>
    <w:pPr>
      <w:ind w:firstLine="420"/>
    </w:pPr>
    <w:rPr>
      <w:rFonts w:hint="eastAsia" w:ascii="楷体_GB2312" w:eastAsia="楷体_GB2312"/>
      <w:sz w:val="24"/>
      <w:szCs w:val="20"/>
    </w:rPr>
  </w:style>
  <w:style w:type="character" w:styleId="886">
    <w:name w:val="正文缩进 字符"/>
    <w:next w:val="886"/>
    <w:link w:val="885"/>
    <w:rPr>
      <w:rFonts w:hint="eastAsia" w:ascii="楷体_GB2312" w:eastAsia="楷体_GB2312" w:cs="楷体_GB2312"/>
      <w:sz w:val="24"/>
    </w:rPr>
  </w:style>
  <w:style w:type="paragraph" w:styleId="887">
    <w:name w:val="文档结构图"/>
    <w:basedOn w:val="864"/>
    <w:next w:val="887"/>
    <w:link w:val="864"/>
    <w:semiHidden/>
    <w:pPr>
      <w:shd w:val="clear" w:color="auto" w:fill="000080"/>
    </w:pPr>
  </w:style>
  <w:style w:type="paragraph" w:styleId="888">
    <w:name w:val="批注文字"/>
    <w:basedOn w:val="864"/>
    <w:next w:val="888"/>
    <w:link w:val="889"/>
    <w:pPr>
      <w:jc w:val="left"/>
    </w:pPr>
  </w:style>
  <w:style w:type="character" w:styleId="889">
    <w:name w:val="批注文字 字符"/>
    <w:next w:val="889"/>
    <w:link w:val="888"/>
    <w:rPr>
      <w:sz w:val="21"/>
      <w:szCs w:val="24"/>
    </w:rPr>
  </w:style>
  <w:style w:type="paragraph" w:styleId="890">
    <w:name w:val="正文文本"/>
    <w:basedOn w:val="864"/>
    <w:next w:val="890"/>
    <w:link w:val="891"/>
    <w:pPr>
      <w:spacing w:after="120"/>
    </w:pPr>
  </w:style>
  <w:style w:type="character" w:styleId="891">
    <w:name w:val="正文文本 字符"/>
    <w:next w:val="891"/>
    <w:link w:val="890"/>
    <w:rPr>
      <w:sz w:val="21"/>
      <w:szCs w:val="24"/>
    </w:rPr>
  </w:style>
  <w:style w:type="paragraph" w:styleId="892">
    <w:name w:val="正文文本缩进"/>
    <w:basedOn w:val="864"/>
    <w:next w:val="885"/>
    <w:link w:val="893"/>
    <w:pPr>
      <w:ind w:left="420"/>
      <w:spacing w:after="120" w:afterAutospacing="0"/>
    </w:pPr>
    <w:rPr>
      <w:sz w:val="22"/>
      <w:szCs w:val="22"/>
      <w:lang w:eastAsia="en-US" w:bidi="en-US"/>
    </w:rPr>
  </w:style>
  <w:style w:type="character" w:styleId="893">
    <w:name w:val="正文文本缩进 字符"/>
    <w:next w:val="893"/>
    <w:link w:val="892"/>
    <w:rPr>
      <w:sz w:val="22"/>
      <w:szCs w:val="22"/>
      <w:lang w:eastAsia="en-US" w:bidi="en-US"/>
    </w:rPr>
  </w:style>
  <w:style w:type="paragraph" w:styleId="894">
    <w:name w:val="文本块"/>
    <w:basedOn w:val="864"/>
    <w:next w:val="894"/>
    <w:link w:val="864"/>
    <w:qFormat/>
    <w:pPr>
      <w:ind w:left="1440" w:right="1440"/>
      <w:spacing w:after="120"/>
    </w:pPr>
    <w:rPr>
      <w:rFonts w:ascii="Times New Roman" w:hAnsi="Times New Roman"/>
    </w:rPr>
  </w:style>
  <w:style w:type="paragraph" w:styleId="895">
    <w:name w:val="纯文本"/>
    <w:basedOn w:val="864"/>
    <w:next w:val="864"/>
    <w:link w:val="896"/>
    <w:rPr>
      <w:rFonts w:ascii="宋体" w:hAnsi="Courier New" w:cs="Courier New"/>
      <w:szCs w:val="21"/>
    </w:rPr>
  </w:style>
  <w:style w:type="character" w:styleId="896">
    <w:name w:val="纯文本 字符"/>
    <w:next w:val="896"/>
    <w:link w:val="895"/>
    <w:rPr>
      <w:rFonts w:ascii="宋体" w:hAnsi="Courier New" w:eastAsia="宋体" w:cs="Courier New"/>
      <w:sz w:val="21"/>
      <w:szCs w:val="21"/>
      <w:lang w:val="en-US" w:eastAsia="zh-CN" w:bidi="ar-SA"/>
    </w:rPr>
  </w:style>
  <w:style w:type="paragraph" w:styleId="897">
    <w:name w:val="正文文本缩进 2"/>
    <w:basedOn w:val="864"/>
    <w:next w:val="897"/>
    <w:link w:val="898"/>
    <w:pPr>
      <w:ind w:left="420"/>
      <w:spacing w:after="120" w:line="480" w:lineRule="auto"/>
    </w:pPr>
  </w:style>
  <w:style w:type="character" w:styleId="898">
    <w:name w:val="正文文本缩进 2 字符"/>
    <w:next w:val="898"/>
    <w:link w:val="897"/>
    <w:rPr>
      <w:sz w:val="21"/>
      <w:szCs w:val="24"/>
    </w:rPr>
  </w:style>
  <w:style w:type="paragraph" w:styleId="899">
    <w:name w:val="批注框文本"/>
    <w:basedOn w:val="864"/>
    <w:next w:val="899"/>
    <w:link w:val="900"/>
    <w:rPr>
      <w:sz w:val="18"/>
      <w:szCs w:val="18"/>
      <w:lang w:eastAsia="en-US" w:bidi="en-US"/>
    </w:rPr>
  </w:style>
  <w:style w:type="character" w:styleId="900">
    <w:name w:val="批注框文本 字符"/>
    <w:next w:val="900"/>
    <w:link w:val="899"/>
    <w:rPr>
      <w:sz w:val="18"/>
      <w:szCs w:val="18"/>
      <w:lang w:eastAsia="en-US" w:bidi="en-US"/>
    </w:rPr>
  </w:style>
  <w:style w:type="paragraph" w:styleId="901">
    <w:name w:val="页脚"/>
    <w:basedOn w:val="864"/>
    <w:next w:val="901"/>
    <w:link w:val="902"/>
    <w:pPr>
      <w:jc w:val="left"/>
      <w:tabs>
        <w:tab w:val="center" w:pos="4153" w:leader="none"/>
        <w:tab w:val="right" w:pos="8306" w:leader="none"/>
      </w:tabs>
    </w:pPr>
    <w:rPr>
      <w:sz w:val="18"/>
      <w:szCs w:val="18"/>
      <w:lang w:eastAsia="en-US" w:bidi="en-US"/>
    </w:rPr>
  </w:style>
  <w:style w:type="character" w:styleId="902">
    <w:name w:val="页脚 字符"/>
    <w:next w:val="902"/>
    <w:link w:val="901"/>
    <w:rPr>
      <w:sz w:val="18"/>
      <w:szCs w:val="18"/>
      <w:lang w:eastAsia="en-US" w:bidi="en-US"/>
    </w:rPr>
  </w:style>
  <w:style w:type="paragraph" w:styleId="903">
    <w:name w:val="页眉"/>
    <w:basedOn w:val="864"/>
    <w:next w:val="903"/>
    <w:link w:val="904"/>
    <w:pPr>
      <w:jc w:val="center"/>
      <w:tabs>
        <w:tab w:val="center" w:pos="4153" w:leader="none"/>
        <w:tab w:val="right" w:pos="8306" w:leader="none"/>
      </w:tabs>
      <w:pBdr>
        <w:bottom w:val="single" w:color="000000" w:sz="6" w:space="1"/>
      </w:pBdr>
    </w:pPr>
    <w:rPr>
      <w:sz w:val="18"/>
      <w:szCs w:val="18"/>
      <w:lang w:eastAsia="en-US" w:bidi="en-US"/>
    </w:rPr>
  </w:style>
  <w:style w:type="character" w:styleId="904">
    <w:name w:val="页眉 字符"/>
    <w:next w:val="904"/>
    <w:link w:val="903"/>
    <w:rPr>
      <w:sz w:val="18"/>
      <w:szCs w:val="18"/>
      <w:lang w:eastAsia="en-US" w:bidi="en-US"/>
    </w:rPr>
  </w:style>
  <w:style w:type="paragraph" w:styleId="905">
    <w:name w:val="目录 1"/>
    <w:basedOn w:val="864"/>
    <w:next w:val="864"/>
    <w:link w:val="864"/>
    <w:semiHidden/>
  </w:style>
  <w:style w:type="paragraph" w:styleId="906">
    <w:name w:val="副标题"/>
    <w:basedOn w:val="864"/>
    <w:next w:val="906"/>
    <w:link w:val="907"/>
    <w:qFormat/>
    <w:pPr>
      <w:jc w:val="center"/>
      <w:spacing w:before="240" w:beforeAutospacing="0" w:after="60" w:afterAutospacing="0" w:line="312" w:lineRule="auto"/>
      <w:outlineLvl w:val="1"/>
    </w:pPr>
    <w:rPr>
      <w:rFonts w:ascii="Cambria" w:hAnsi="Cambria" w:eastAsia="Cambria"/>
      <w:b/>
      <w:sz w:val="32"/>
      <w:szCs w:val="32"/>
      <w:lang w:eastAsia="en-US" w:bidi="en-US"/>
    </w:rPr>
  </w:style>
  <w:style w:type="character" w:styleId="907">
    <w:name w:val="副标题 字符"/>
    <w:next w:val="907"/>
    <w:link w:val="906"/>
    <w:rPr>
      <w:rFonts w:ascii="Cambria" w:hAnsi="Cambria" w:eastAsia="Cambria" w:cs="Times New Roman"/>
      <w:b/>
      <w:sz w:val="32"/>
      <w:szCs w:val="32"/>
      <w:lang w:eastAsia="en-US" w:bidi="en-US"/>
    </w:rPr>
  </w:style>
  <w:style w:type="paragraph" w:styleId="908">
    <w:name w:val="目录 2"/>
    <w:basedOn w:val="864"/>
    <w:next w:val="864"/>
    <w:link w:val="864"/>
    <w:semiHidden/>
    <w:pPr>
      <w:ind w:left="420"/>
    </w:pPr>
  </w:style>
  <w:style w:type="paragraph" w:styleId="909">
    <w:name w:val="普通(网站)"/>
    <w:basedOn w:val="864"/>
    <w:next w:val="909"/>
    <w:link w:val="864"/>
    <w:qFormat/>
    <w:pPr>
      <w:jc w:val="left"/>
      <w:spacing w:before="100" w:beforeAutospacing="1" w:after="100" w:afterAutospacing="1"/>
      <w:widowControl/>
    </w:pPr>
    <w:rPr>
      <w:rFonts w:ascii="宋体" w:hAnsi="宋体" w:cs="宋体"/>
      <w:sz w:val="24"/>
    </w:rPr>
  </w:style>
  <w:style w:type="paragraph" w:styleId="910">
    <w:name w:val="标题"/>
    <w:basedOn w:val="864"/>
    <w:next w:val="910"/>
    <w:link w:val="911"/>
    <w:qFormat/>
    <w:pPr>
      <w:jc w:val="center"/>
      <w:spacing w:before="240" w:beforeAutospacing="0" w:after="60" w:afterAutospacing="0"/>
      <w:outlineLvl w:val="0"/>
    </w:pPr>
    <w:rPr>
      <w:rFonts w:ascii="Cambria" w:hAnsi="Cambria" w:eastAsia="Cambria"/>
      <w:b/>
      <w:sz w:val="32"/>
      <w:szCs w:val="32"/>
      <w:lang w:eastAsia="en-US" w:bidi="en-US"/>
    </w:rPr>
  </w:style>
  <w:style w:type="character" w:styleId="911">
    <w:name w:val="标题 字符"/>
    <w:next w:val="911"/>
    <w:link w:val="910"/>
    <w:rPr>
      <w:rFonts w:ascii="Cambria" w:hAnsi="Cambria" w:eastAsia="Cambria" w:cs="Times New Roman"/>
      <w:b/>
      <w:sz w:val="32"/>
      <w:szCs w:val="32"/>
      <w:lang w:eastAsia="en-US" w:bidi="en-US"/>
    </w:rPr>
  </w:style>
  <w:style w:type="paragraph" w:styleId="912">
    <w:name w:val="批注主题"/>
    <w:basedOn w:val="888"/>
    <w:next w:val="888"/>
    <w:link w:val="913"/>
    <w:rPr>
      <w:b/>
      <w:bCs/>
    </w:rPr>
  </w:style>
  <w:style w:type="character" w:styleId="913">
    <w:name w:val="批注主题 字符"/>
    <w:next w:val="913"/>
    <w:link w:val="912"/>
  </w:style>
  <w:style w:type="paragraph" w:styleId="914">
    <w:name w:val="正文首行缩进 2"/>
    <w:basedOn w:val="892"/>
    <w:next w:val="864"/>
    <w:link w:val="864"/>
    <w:qFormat/>
    <w:pPr>
      <w:ind w:left="420" w:firstLine="420"/>
    </w:pPr>
    <w:rPr>
      <w:rFonts w:ascii="Times New Roman"/>
      <w:sz w:val="21"/>
    </w:rPr>
  </w:style>
  <w:style w:type="table" w:styleId="915">
    <w:name w:val="网格型"/>
    <w:basedOn w:val="875"/>
    <w:next w:val="915"/>
    <w:link w:val="864"/>
    <w:uiPriority w:val="99"/>
    <w:pPr>
      <w:ind w:left="0" w:right="0"/>
      <w:jc w:val="both"/>
      <w:keepLines w:val="0"/>
      <w:keepNext w:val="0"/>
      <w:spacing w:before="0" w:beforeAutospacing="0" w:after="0" w:afterAutospacing="0"/>
      <w:widowControl w:val="off"/>
      <w:suppressLineNumbers w:val="0"/>
    </w:pPr>
    <w:rPr>
      <w:rFonts w:ascii="Calibri" w:hAnsi="Calibri" w:cs="Calibri"/>
      <w:sz w:val="20"/>
      <w:szCs w:val="20"/>
    </w:rPr>
    <w:tblPr/>
  </w:style>
  <w:style w:type="character" w:styleId="916">
    <w:name w:val="要点"/>
    <w:next w:val="916"/>
    <w:link w:val="864"/>
    <w:qFormat/>
    <w:rPr>
      <w:b/>
      <w:bCs w:val="0"/>
    </w:rPr>
  </w:style>
  <w:style w:type="character" w:styleId="917">
    <w:name w:val="页码"/>
    <w:next w:val="917"/>
    <w:link w:val="864"/>
  </w:style>
  <w:style w:type="character" w:styleId="918">
    <w:name w:val="已访问的超链接"/>
    <w:next w:val="918"/>
    <w:link w:val="864"/>
    <w:rPr>
      <w:color w:val="800080"/>
      <w:u w:val="none"/>
    </w:rPr>
  </w:style>
  <w:style w:type="character" w:styleId="919">
    <w:name w:val="强调"/>
    <w:next w:val="919"/>
    <w:link w:val="864"/>
    <w:uiPriority w:val="20"/>
    <w:qFormat/>
    <w:rPr>
      <w:i/>
      <w:iCs/>
    </w:rPr>
  </w:style>
  <w:style w:type="character" w:styleId="920">
    <w:name w:val="HTML 定义"/>
    <w:next w:val="920"/>
    <w:link w:val="864"/>
    <w:rPr>
      <w:b w:val="0"/>
      <w:bCs w:val="0"/>
      <w:i w:val="0"/>
      <w:iCs w:val="0"/>
    </w:rPr>
  </w:style>
  <w:style w:type="character" w:styleId="921">
    <w:name w:val="HTML 打字机"/>
    <w:next w:val="921"/>
    <w:link w:val="864"/>
    <w:rPr>
      <w:rFonts w:ascii="monospace" w:hAnsi="monospace" w:eastAsia="monospace" w:cs="monospace"/>
      <w:sz w:val="20"/>
    </w:rPr>
  </w:style>
  <w:style w:type="character" w:styleId="922">
    <w:name w:val="HTML 缩写"/>
    <w:next w:val="922"/>
    <w:link w:val="864"/>
  </w:style>
  <w:style w:type="character" w:styleId="923">
    <w:name w:val="HTML 变量"/>
    <w:next w:val="923"/>
    <w:link w:val="864"/>
    <w:rPr>
      <w:b w:val="0"/>
      <w:bCs w:val="0"/>
      <w:i w:val="0"/>
      <w:iCs w:val="0"/>
    </w:rPr>
  </w:style>
  <w:style w:type="character" w:styleId="924">
    <w:name w:val="超链接"/>
    <w:next w:val="924"/>
    <w:link w:val="864"/>
    <w:rPr>
      <w:color w:val="0000ff"/>
      <w:u w:val="none"/>
    </w:rPr>
  </w:style>
  <w:style w:type="character" w:styleId="925">
    <w:name w:val="HTML 代码"/>
    <w:next w:val="925"/>
    <w:link w:val="864"/>
    <w:rPr>
      <w:rFonts w:ascii="monospace" w:hAnsi="monospace" w:eastAsia="monospace" w:cs="monospace"/>
      <w:b w:val="0"/>
      <w:bCs w:val="0"/>
      <w:i w:val="0"/>
      <w:iCs w:val="0"/>
      <w:sz w:val="20"/>
    </w:rPr>
  </w:style>
  <w:style w:type="character" w:styleId="926">
    <w:name w:val="批注引用"/>
    <w:next w:val="926"/>
    <w:link w:val="864"/>
    <w:rPr>
      <w:sz w:val="21"/>
      <w:szCs w:val="21"/>
    </w:rPr>
  </w:style>
  <w:style w:type="character" w:styleId="927">
    <w:name w:val="HTML 引文"/>
    <w:next w:val="927"/>
    <w:link w:val="864"/>
    <w:rPr>
      <w:b w:val="0"/>
      <w:bCs w:val="0"/>
      <w:i w:val="0"/>
      <w:iCs w:val="0"/>
    </w:rPr>
  </w:style>
  <w:style w:type="character" w:styleId="928">
    <w:name w:val="HTML 键盘"/>
    <w:next w:val="928"/>
    <w:link w:val="864"/>
    <w:rPr>
      <w:rFonts w:ascii="monospace" w:hAnsi="monospace" w:eastAsia="monospace" w:cs="monospace"/>
      <w:sz w:val="20"/>
    </w:rPr>
  </w:style>
  <w:style w:type="character" w:styleId="929">
    <w:name w:val="HTML 样本"/>
    <w:next w:val="929"/>
    <w:link w:val="864"/>
    <w:rPr>
      <w:rFonts w:ascii="monospace" w:hAnsi="monospace" w:eastAsia="monospace" w:cs="monospace"/>
    </w:rPr>
  </w:style>
  <w:style w:type="paragraph" w:styleId="930">
    <w:name w:val="样式3"/>
    <w:basedOn w:val="864"/>
    <w:next w:val="864"/>
    <w:link w:val="864"/>
    <w:qFormat/>
    <w:pPr>
      <w:ind w:firstLine="420"/>
      <w:spacing w:line="360" w:lineRule="auto"/>
      <w:tabs>
        <w:tab w:val="left" w:pos="720" w:leader="none"/>
      </w:tabs>
    </w:pPr>
    <w:rPr>
      <w:rFonts w:ascii="楷体_GB2312" w:hAnsi="新宋体" w:eastAsia="楷体_GB2312"/>
      <w:sz w:val="24"/>
      <w:szCs w:val="20"/>
    </w:rPr>
  </w:style>
  <w:style w:type="character" w:styleId="931">
    <w:name w:val="书籍标题1"/>
    <w:next w:val="931"/>
    <w:link w:val="864"/>
    <w:rPr>
      <w:b/>
      <w:smallCaps/>
      <w:spacing w:val="5"/>
    </w:rPr>
  </w:style>
  <w:style w:type="character" w:styleId="932">
    <w:name w:val="qowt-font10"/>
    <w:next w:val="932"/>
    <w:link w:val="864"/>
  </w:style>
  <w:style w:type="character" w:styleId="933">
    <w:name w:val="hover1"/>
    <w:next w:val="933"/>
    <w:link w:val="864"/>
    <w:rPr>
      <w:color w:val="5fb878"/>
    </w:rPr>
  </w:style>
  <w:style w:type="character" w:styleId="934">
    <w:name w:val="副标题 Char"/>
    <w:next w:val="934"/>
    <w:link w:val="864"/>
    <w:rPr>
      <w:rFonts w:ascii="Cambria" w:hAnsi="Cambria" w:eastAsia="Cambria" w:cs="Cambria"/>
      <w:i/>
      <w:color w:val="4f81bd"/>
      <w:spacing w:val="15"/>
      <w:sz w:val="24"/>
      <w:szCs w:val="24"/>
    </w:rPr>
  </w:style>
  <w:style w:type="character" w:styleId="935">
    <w:name w:val="无间隔 Char"/>
    <w:next w:val="935"/>
    <w:link w:val="864"/>
    <w:rPr>
      <w:sz w:val="22"/>
      <w:szCs w:val="22"/>
      <w:lang w:eastAsia="en-US" w:bidi="en-US"/>
    </w:rPr>
  </w:style>
  <w:style w:type="character" w:styleId="936">
    <w:name w:val="qowt-font12"/>
    <w:next w:val="936"/>
    <w:link w:val="864"/>
  </w:style>
  <w:style w:type="character" w:styleId="937">
    <w:name w:val="Heading 1 Char"/>
    <w:next w:val="937"/>
    <w:link w:val="938"/>
    <w:uiPriority w:val="9"/>
    <w:qFormat/>
    <w:rPr>
      <w:rFonts w:ascii="Arial" w:hAnsi="Arial" w:eastAsia="Arial" w:cs="Arial"/>
      <w:sz w:val="40"/>
      <w:szCs w:val="40"/>
    </w:rPr>
  </w:style>
  <w:style w:type="paragraph" w:styleId="938">
    <w:name w:val="Heading 1"/>
    <w:basedOn w:val="864"/>
    <w:next w:val="864"/>
    <w:link w:val="937"/>
    <w:uiPriority w:val="9"/>
    <w:qFormat/>
    <w:pPr>
      <w:keepLines/>
      <w:keepNext/>
      <w:spacing w:before="480" w:after="200"/>
      <w:outlineLvl w:val="0"/>
    </w:pPr>
    <w:rPr>
      <w:rFonts w:ascii="Arial" w:hAnsi="Arial" w:eastAsia="Arial"/>
      <w:sz w:val="40"/>
      <w:szCs w:val="40"/>
    </w:rPr>
  </w:style>
  <w:style w:type="character" w:styleId="939">
    <w:name w:val="font21"/>
    <w:next w:val="939"/>
    <w:link w:val="864"/>
    <w:rPr>
      <w:rFonts w:ascii="Times New Roman" w:hAnsi="Times New Roman" w:cs="Times New Roman"/>
      <w:color w:val="000000"/>
      <w:sz w:val="24"/>
      <w:szCs w:val="24"/>
      <w:u w:val="none"/>
    </w:rPr>
  </w:style>
  <w:style w:type="character" w:styleId="940">
    <w:name w:val="标题 Char"/>
    <w:next w:val="940"/>
    <w:link w:val="864"/>
    <w:rPr>
      <w:rFonts w:ascii="Cambria" w:hAnsi="Cambria" w:eastAsia="Cambria" w:cs="Cambria"/>
      <w:color w:val="17365d"/>
      <w:spacing w:val="5"/>
      <w:sz w:val="52"/>
      <w:szCs w:val="52"/>
    </w:rPr>
  </w:style>
  <w:style w:type="character" w:styleId="941">
    <w:name w:val="明显强调1"/>
    <w:next w:val="941"/>
    <w:link w:val="864"/>
    <w:rPr>
      <w:b/>
      <w:i/>
      <w:color w:val="4f81bd"/>
    </w:rPr>
  </w:style>
  <w:style w:type="character" w:styleId="942">
    <w:name w:val="正文缩进 Char,ALT+Z Char,表正文 Char,正文非缩进 Char,特点 Char,段1 Char,小四 Char,四号 Char,标题4 Char,正文顶格悬挂 Char,±íÕýÎÄ Char,ÕýÎÄ·ÇËõ½ø Char,±í Char,±í?y?? Char,?y??·????? Char,缩进 Char,首行缩进 Char,正文不缩进 Char,报告文字 Char,鋘drad Char,???änd Char,水上软件 Char,Í¼±íÕýÎÄ Char,正文对齐 Char"/>
    <w:next w:val="942"/>
    <w:link w:val="864"/>
    <w:uiPriority w:val="99"/>
    <w:qFormat/>
    <w:rPr>
      <w:sz w:val="21"/>
    </w:rPr>
  </w:style>
  <w:style w:type="character" w:styleId="943">
    <w:name w:val="不明显强调1"/>
    <w:next w:val="943"/>
    <w:link w:val="864"/>
    <w:rPr>
      <w:i/>
      <w:color w:val="7f7f7f"/>
    </w:rPr>
  </w:style>
  <w:style w:type="character" w:styleId="944">
    <w:name w:val="hover"/>
    <w:next w:val="944"/>
    <w:link w:val="864"/>
    <w:rPr>
      <w:color w:val="5fb878"/>
    </w:rPr>
  </w:style>
  <w:style w:type="character" w:styleId="945">
    <w:name w:val="正文文本缩进 2 Char1"/>
    <w:next w:val="945"/>
    <w:link w:val="864"/>
    <w:rPr>
      <w:sz w:val="21"/>
      <w:szCs w:val="24"/>
    </w:rPr>
  </w:style>
  <w:style w:type="character" w:styleId="946">
    <w:name w:val="批注框文本 Char"/>
    <w:next w:val="946"/>
    <w:link w:val="864"/>
    <w:rPr>
      <w:sz w:val="18"/>
      <w:szCs w:val="18"/>
    </w:rPr>
  </w:style>
  <w:style w:type="character" w:styleId="947">
    <w:name w:val="引用 Char"/>
    <w:next w:val="947"/>
    <w:link w:val="864"/>
    <w:rPr>
      <w:i/>
      <w:color w:val="000000"/>
    </w:rPr>
  </w:style>
  <w:style w:type="character" w:styleId="948">
    <w:name w:val="apple-converted-space"/>
    <w:next w:val="948"/>
    <w:link w:val="864"/>
  </w:style>
  <w:style w:type="character" w:styleId="949">
    <w:name w:val="明显引用 Char"/>
    <w:next w:val="949"/>
    <w:link w:val="864"/>
    <w:rPr>
      <w:b/>
      <w:i/>
      <w:color w:val="4f81bd"/>
    </w:rPr>
  </w:style>
  <w:style w:type="character" w:styleId="950">
    <w:name w:val="font01"/>
    <w:next w:val="950"/>
    <w:link w:val="864"/>
    <w:rPr>
      <w:rFonts w:hint="eastAsia" w:ascii="宋体" w:hAnsi="宋体" w:eastAsia="宋体"/>
      <w:b/>
      <w:bCs/>
      <w:color w:val="ff0000"/>
      <w:sz w:val="18"/>
      <w:szCs w:val="18"/>
      <w:u w:val="none"/>
    </w:rPr>
  </w:style>
  <w:style w:type="character" w:styleId="951">
    <w:name w:val="正文文本缩进 Char"/>
    <w:next w:val="951"/>
    <w:link w:val="864"/>
    <w:rPr>
      <w:rFonts w:ascii="Times New Roman" w:hAnsi="Times New Roman" w:cs="Times New Roman"/>
      <w:szCs w:val="24"/>
    </w:rPr>
  </w:style>
  <w:style w:type="character" w:styleId="952">
    <w:name w:val="hover2"/>
    <w:next w:val="952"/>
    <w:link w:val="864"/>
    <w:rPr>
      <w:color w:val="ffffff"/>
    </w:rPr>
  </w:style>
  <w:style w:type="character" w:styleId="953">
    <w:name w:val="NormalCharacter1"/>
    <w:next w:val="953"/>
    <w:link w:val="864"/>
    <w:semiHidden/>
    <w:qFormat/>
  </w:style>
  <w:style w:type="character" w:styleId="954">
    <w:name w:val="无 A"/>
    <w:next w:val="954"/>
    <w:link w:val="864"/>
    <w:rPr>
      <w:lang w:val="zh-TW" w:eastAsia="zh-TW"/>
    </w:rPr>
  </w:style>
  <w:style w:type="character" w:styleId="955">
    <w:name w:val="font11"/>
    <w:next w:val="955"/>
    <w:link w:val="864"/>
    <w:rPr>
      <w:rFonts w:hint="eastAsia" w:ascii="宋体" w:hAnsi="宋体" w:eastAsia="宋体"/>
      <w:color w:val="000000"/>
      <w:sz w:val="18"/>
      <w:szCs w:val="18"/>
      <w:u w:val="none"/>
    </w:rPr>
  </w:style>
  <w:style w:type="character" w:styleId="956">
    <w:name w:val="页脚 Char"/>
    <w:next w:val="956"/>
    <w:link w:val="864"/>
    <w:uiPriority w:val="99"/>
    <w:rPr>
      <w:rFonts w:eastAsia="宋体"/>
      <w:sz w:val="18"/>
      <w:szCs w:val="18"/>
      <w:lang w:val="en-US" w:eastAsia="zh-CN" w:bidi="ar-SA"/>
    </w:rPr>
  </w:style>
  <w:style w:type="character" w:styleId="957">
    <w:name w:val="页眉 Char"/>
    <w:next w:val="957"/>
    <w:link w:val="864"/>
    <w:rPr>
      <w:sz w:val="18"/>
      <w:szCs w:val="18"/>
    </w:rPr>
  </w:style>
  <w:style w:type="character" w:styleId="958">
    <w:name w:val="明显参考1"/>
    <w:next w:val="958"/>
    <w:link w:val="864"/>
    <w:rPr>
      <w:b/>
      <w:smallCaps/>
      <w:color w:val="c0504d"/>
      <w:spacing w:val="5"/>
      <w:u w:val="single"/>
    </w:rPr>
  </w:style>
  <w:style w:type="character" w:styleId="959">
    <w:name w:val="apple-style-span"/>
    <w:next w:val="959"/>
    <w:link w:val="864"/>
  </w:style>
  <w:style w:type="character" w:styleId="960">
    <w:name w:val="不明显参考1"/>
    <w:next w:val="960"/>
    <w:link w:val="864"/>
    <w:rPr>
      <w:smallCaps/>
      <w:color w:val="c0504d"/>
      <w:u w:val="single"/>
    </w:rPr>
  </w:style>
  <w:style w:type="character" w:styleId="961">
    <w:name w:val="纯文本 Char1,纯文本 Char Char1,普通文字 Char Char1,纯文本 Char Char Char,普通文字 Char Char Char,普通文字 Char Char Char Char Char Char Char Char Char Char Char,普通文字 Char Char Char Char Char Char Char Char Char Char Char Char Char"/>
    <w:next w:val="961"/>
    <w:link w:val="864"/>
    <w:rPr>
      <w:rFonts w:hint="eastAsia" w:ascii="宋体" w:hAnsi="Courier New" w:eastAsia="宋体" w:cs="Courier New"/>
      <w:sz w:val="21"/>
      <w:szCs w:val="21"/>
    </w:rPr>
  </w:style>
  <w:style w:type="paragraph" w:styleId="962">
    <w:name w:val="正文文字 6"/>
    <w:next w:val="864"/>
    <w:link w:val="864"/>
    <w:uiPriority w:val="99"/>
    <w:qFormat/>
    <w:pPr>
      <w:ind w:left="240"/>
      <w:jc w:val="both"/>
      <w:widowControl w:val="off"/>
    </w:pPr>
    <w:rPr>
      <w:rFonts w:ascii="宋体"/>
      <w:b/>
      <w:bCs/>
      <w:sz w:val="32"/>
      <w:szCs w:val="32"/>
      <w:lang w:val="en-US" w:eastAsia="zh-CN" w:bidi="ar-SA"/>
    </w:rPr>
  </w:style>
  <w:style w:type="paragraph" w:styleId="963">
    <w:name w:val="列出段落1"/>
    <w:basedOn w:val="864"/>
    <w:next w:val="963"/>
    <w:link w:val="864"/>
    <w:pPr>
      <w:ind w:firstLine="420"/>
    </w:pPr>
    <w:rPr>
      <w:rFonts w:ascii="Calibri" w:hAnsi="Calibri" w:cs="Calibri"/>
      <w:szCs w:val="21"/>
    </w:rPr>
  </w:style>
  <w:style w:type="paragraph" w:styleId="964">
    <w:name w:val="段"/>
    <w:next w:val="864"/>
    <w:link w:val="864"/>
    <w:qFormat/>
    <w:pPr>
      <w:ind w:firstLine="200"/>
      <w:jc w:val="both"/>
    </w:pPr>
    <w:rPr>
      <w:rFonts w:ascii="宋体"/>
      <w:sz w:val="21"/>
      <w:lang w:val="en-US" w:eastAsia="zh-CN" w:bidi="ar-SA"/>
    </w:rPr>
  </w:style>
  <w:style w:type="paragraph" w:styleId="965">
    <w:name w:val="正文_0"/>
    <w:basedOn w:val="864"/>
    <w:next w:val="965"/>
    <w:link w:val="864"/>
    <w:qFormat/>
    <w:rPr>
      <w:rFonts w:ascii="Calibri" w:hAnsi="Calibri"/>
      <w:szCs w:val="21"/>
    </w:rPr>
  </w:style>
  <w:style w:type="paragraph" w:styleId="966">
    <w:name w:val="正文首行缩进1"/>
    <w:basedOn w:val="864"/>
    <w:next w:val="966"/>
    <w:link w:val="864"/>
    <w:uiPriority w:val="99"/>
    <w:qFormat/>
    <w:pPr>
      <w:ind w:firstLine="420"/>
      <w:spacing w:after="120"/>
    </w:pPr>
  </w:style>
  <w:style w:type="paragraph" w:styleId="967">
    <w:name w:val="列表段落"/>
    <w:basedOn w:val="864"/>
    <w:next w:val="967"/>
    <w:link w:val="864"/>
    <w:uiPriority w:val="34"/>
    <w:qFormat/>
    <w:pPr>
      <w:ind w:firstLine="420"/>
    </w:pPr>
  </w:style>
  <w:style w:type="paragraph" w:styleId="968">
    <w:name w:val="p0"/>
    <w:basedOn w:val="864"/>
    <w:next w:val="968"/>
    <w:link w:val="864"/>
    <w:pPr>
      <w:widowControl/>
    </w:pPr>
    <w:rPr>
      <w:szCs w:val="21"/>
    </w:rPr>
  </w:style>
  <w:style w:type="paragraph" w:styleId="969">
    <w:name w:val="Fließtext"/>
    <w:basedOn w:val="864"/>
    <w:next w:val="969"/>
    <w:link w:val="864"/>
    <w:qFormat/>
    <w:rPr>
      <w:szCs w:val="20"/>
    </w:rPr>
  </w:style>
  <w:style w:type="paragraph" w:styleId="970">
    <w:name w:val="正文_16"/>
    <w:next w:val="970"/>
    <w:link w:val="864"/>
    <w:qFormat/>
    <w:pPr>
      <w:jc w:val="both"/>
      <w:widowControl w:val="off"/>
    </w:pPr>
    <w:rPr>
      <w:rFonts w:ascii="Calibri" w:hAnsi="Calibri"/>
      <w:sz w:val="21"/>
      <w:szCs w:val="22"/>
      <w:lang w:val="en-US" w:eastAsia="zh-CN" w:bidi="ar-SA"/>
    </w:rPr>
  </w:style>
  <w:style w:type="paragraph" w:styleId="971">
    <w:name w:val="列出段落3"/>
    <w:basedOn w:val="864"/>
    <w:next w:val="971"/>
    <w:link w:val="864"/>
    <w:pPr>
      <w:ind w:left="0" w:right="0" w:firstLine="420"/>
      <w:jc w:val="left"/>
      <w:keepLines w:val="0"/>
      <w:keepNext w:val="0"/>
      <w:spacing w:before="0" w:beforeAutospacing="0" w:after="0" w:afterAutospacing="0" w:line="276" w:lineRule="auto"/>
      <w:widowControl/>
      <w:suppressLineNumbers w:val="0"/>
    </w:pPr>
    <w:rPr>
      <w:rFonts w:ascii="Calibri" w:hAnsi="Calibri" w:eastAsia="宋体" w:cs="Times New Roman"/>
      <w:sz w:val="22"/>
      <w:szCs w:val="22"/>
      <w:lang w:val="en-US" w:eastAsia="zh-CN" w:bidi="ar"/>
    </w:rPr>
  </w:style>
  <w:style w:type="paragraph" w:styleId="972">
    <w:name w:val="z-窗体顶端"/>
    <w:basedOn w:val="864"/>
    <w:next w:val="864"/>
    <w:link w:val="864"/>
    <w:pPr>
      <w:jc w:val="center"/>
      <w:widowControl/>
      <w:pBdr>
        <w:bottom w:val="single" w:color="000000" w:sz="6" w:space="1"/>
      </w:pBdr>
    </w:pPr>
    <w:rPr>
      <w:rFonts w:ascii="Arial" w:hAnsi="Arial" w:cs="Arial"/>
      <w:vanish/>
      <w:sz w:val="16"/>
      <w:szCs w:val="16"/>
    </w:rPr>
  </w:style>
  <w:style w:type="paragraph" w:styleId="973">
    <w:name w:val="无间隔"/>
    <w:next w:val="973"/>
    <w:link w:val="864"/>
    <w:uiPriority w:val="1"/>
    <w:qFormat/>
    <w:rPr>
      <w:sz w:val="22"/>
      <w:szCs w:val="22"/>
      <w:lang w:val="en-US" w:eastAsia="zh-CN" w:bidi="ar-SA"/>
    </w:rPr>
  </w:style>
  <w:style w:type="paragraph" w:styleId="974">
    <w:name w:val="Default"/>
    <w:next w:val="962"/>
    <w:link w:val="864"/>
    <w:qFormat/>
    <w:pPr>
      <w:widowControl w:val="off"/>
    </w:pPr>
    <w:rPr>
      <w:sz w:val="24"/>
      <w:szCs w:val="24"/>
      <w:lang w:val="en-US" w:eastAsia="zh-CN" w:bidi="ar-SA"/>
    </w:rPr>
  </w:style>
  <w:style w:type="character" w:styleId="975" w:default="1">
    <w:name w:val="Default Paragraph Font"/>
    <w:uiPriority w:val="1"/>
    <w:semiHidden/>
    <w:unhideWhenUsed/>
  </w:style>
  <w:style w:type="numbering" w:styleId="976" w:default="1">
    <w:name w:val="No List"/>
    <w:uiPriority w:val="99"/>
    <w:semiHidden/>
    <w:unhideWhenUsed/>
  </w:style>
  <w:style w:type="table" w:styleId="97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5864"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1118"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2045"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841"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5008"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937"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6271"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c</dc:creator>
  <cp:lastModifiedBy>杨士宇</cp:lastModifiedBy>
  <cp:revision>6</cp:revision>
  <dcterms:created xsi:type="dcterms:W3CDTF">2024-12-07T01:52:00Z</dcterms:created>
  <dcterms:modified xsi:type="dcterms:W3CDTF">2025-12-08T02:56:11Z</dcterms:modified>
</cp:coreProperties>
</file>